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Joyous festivities in Warsaw’s Old Town! The second edition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of Warsaw’s Old Town birthday celebration will begin on 19 July!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posOffset>-4444</wp:posOffset>
            </wp:positionH>
            <wp:positionV relativeFrom="margin">
              <wp:posOffset>928370</wp:posOffset>
            </wp:positionV>
            <wp:extent cx="5791200" cy="3880485"/>
            <wp:effectExtent b="0" l="0" r="0" t="0"/>
            <wp:wrapSquare wrapText="bothSides" distB="0" distT="0" distL="114300" distR="114300"/>
            <wp:docPr descr="https://lh7-us.googleusercontent.com/docsz/AD_4nXcJWZqb_7MrffhIHphO256nUP_PC_1M9007PFK1MB9umT7ipvNOfMzIWLm00SWRlLXmiBnFH5SVDGPqOetqi1ZTbK7Dnl-WZdDmkUomshlZsVbQl7k1ZL2Qg_S4ArgsPp30_H_Gq_ezQSLaoivvWxLTZEcnmK8VdNYKc24CLA?key=GRC7pqGAXGMn-PQhwbQvaQ" id="13" name="image2.jpg"/>
            <a:graphic>
              <a:graphicData uri="http://schemas.openxmlformats.org/drawingml/2006/picture">
                <pic:pic>
                  <pic:nvPicPr>
                    <pic:cNvPr descr="https://lh7-us.googleusercontent.com/docsz/AD_4nXcJWZqb_7MrffhIHphO256nUP_PC_1M9007PFK1MB9umT7ipvNOfMzIWLm00SWRlLXmiBnFH5SVDGPqOetqi1ZTbK7Dnl-WZdDmkUomshlZsVbQl7k1ZL2Qg_S4ArgsPp30_H_Gq_ezQSLaoivvWxLTZEcnmK8VdNYKc24CLA?key=GRC7pqGAXGMn-PQhwbQvaQ" id="0" name="image2.jpg"/>
                    <pic:cNvPicPr preferRelativeResize="0"/>
                  </pic:nvPicPr>
                  <pic:blipFill>
                    <a:blip r:embed="rId7"/>
                    <a:srcRect b="0" l="0" r="0" t="0"/>
                    <a:stretch>
                      <a:fillRect/>
                    </a:stretch>
                  </pic:blipFill>
                  <pic:spPr>
                    <a:xfrm>
                      <a:off x="0" y="0"/>
                      <a:ext cx="5791200" cy="388048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Warsaw’s Old Town and its vicinity, </w:t>
      </w:r>
      <w:r w:rsidDel="00000000" w:rsidR="00000000" w:rsidRPr="00000000">
        <w:rPr>
          <w:rFonts w:ascii="Calibri" w:cs="Calibri" w:eastAsia="Calibri" w:hAnsi="Calibri"/>
          <w:b w:val="0"/>
          <w:i w:val="0"/>
          <w:smallCaps w:val="0"/>
          <w:strike w:val="0"/>
          <w:color w:val="00000a"/>
          <w:sz w:val="18"/>
          <w:szCs w:val="18"/>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 July 2024</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Calibri" w:cs="Calibri" w:eastAsia="Calibri" w:hAnsi="Calibri"/>
          <w:b w:val="0"/>
          <w:i w:val="0"/>
          <w:smallCaps w:val="0"/>
          <w:strike w:val="0"/>
          <w:color w:val="1c1c1c"/>
          <w:sz w:val="16"/>
          <w:szCs w:val="16"/>
          <w:u w:val="none"/>
          <w:shd w:fill="auto" w:val="clear"/>
          <w:vertAlign w:val="baseline"/>
        </w:rPr>
      </w:pPr>
      <w:r w:rsidDel="00000000" w:rsidR="00000000" w:rsidRPr="00000000">
        <w:rPr>
          <w:rFonts w:ascii="Calibri" w:cs="Calibri" w:eastAsia="Calibri" w:hAnsi="Calibri"/>
          <w:b w:val="0"/>
          <w:i w:val="0"/>
          <w:smallCaps w:val="0"/>
          <w:strike w:val="0"/>
          <w:color w:val="1c1c1c"/>
          <w:sz w:val="16"/>
          <w:szCs w:val="16"/>
          <w:u w:val="none"/>
          <w:shd w:fill="auto" w:val="clear"/>
          <w:vertAlign w:val="baseline"/>
          <w:rtl w:val="0"/>
        </w:rPr>
        <w:t xml:space="preserve">70th birthday of Starówka (Warsaw’s Old Town). Photo: Tomasz Kaczor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1"/>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For three days in July, the Old Town—Starówka—will become Warsaw’s cultural centre. On the occasion of its 71st birthday, 40 institutions organize nearly 100 events, including a concert of the cult Molesta Ewenement group, Aga Zaryan Quintet concert as part of the 30th </w:t>
      </w:r>
      <w:r w:rsidDel="00000000" w:rsidR="00000000" w:rsidRPr="00000000">
        <w:rPr>
          <w:rFonts w:ascii="Calibri" w:cs="Calibri" w:eastAsia="Calibri" w:hAnsi="Calibri"/>
          <w:b w:val="1"/>
          <w:i w:val="1"/>
          <w:smallCaps w:val="0"/>
          <w:strike w:val="0"/>
          <w:color w:val="1c1c1c"/>
          <w:sz w:val="20"/>
          <w:szCs w:val="20"/>
          <w:u w:val="none"/>
          <w:shd w:fill="auto" w:val="clear"/>
          <w:vertAlign w:val="baseline"/>
          <w:rtl w:val="0"/>
        </w:rPr>
        <w:t xml:space="preserve">Jazz in Starówka</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 International Outdoor Festival, dance party in the Old Town Market Square or a multicultural breakfast at the Common Table. The residents of Warsaw will have the opportunity to take part in walks, workshops, guided tours and even a tour of Warsaw’s art studios. The celebration will last from 19 to 21 July. For detailed program of events and an interactive map of the Old Town, please go to: </w:t>
      </w:r>
      <w:hyperlink r:id="rId8">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www.grupastarowka.pl</w:t>
        </w:r>
      </w:hyperlink>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The pretext for organizing the festivities last year was the 70th anniversary of the reconstruction of the Old Town Market Square which, along with some of the Old Town streets, was opened for use exactly on 22 July 1953. The success of the Old Town’s 70th birthday means that the event has a chance to become a permanent fixture in the calendar of major Warsaw events.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“Last year’s unexpectedly high attendance at the Old Town’s birthday celebration made us realize that the residents of Warsaw need such an event. Crowds of Varsovians had the opportunity to see the rich and diverse cultural offer proposed by the institutions that operate in Starówka on a daily basis. We are very pleased that the energy generated last year through the collaboration of dozens of places has not been lost. We continue to work together as the Starówka Group—an informal network of Old Town institutions—and we return this year with even greater impetus. New places have joined us, and the program of events for the July weekend looks truly impressive,” says Karolina Ziębińska, director of the Museum of Warsaw which coordinates the collaboration of all the institutions involved and the anniversary organization.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This year, the festivities will be held on 19–21 July.</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Almost 100 events have been planned for the three days: concerts, walks, art workshops, guided tours, urban games, meetings, exhibitions, dance parties and a multicultural breakfast. The program includes, among others, a concert by the cult Molesta Ewenement group, commemoration of the 50th anniversary of installing the castle clock on the Clock Tower of the Royal Castle, or a concert by Aga Zaryan Quintet as part of the 30th </w:t>
      </w:r>
      <w:r w:rsidDel="00000000" w:rsidR="00000000" w:rsidRPr="00000000">
        <w:rPr>
          <w:rFonts w:ascii="Calibri" w:cs="Calibri" w:eastAsia="Calibri" w:hAnsi="Calibri"/>
          <w:b w:val="0"/>
          <w:i w:val="1"/>
          <w:smallCaps w:val="0"/>
          <w:strike w:val="0"/>
          <w:color w:val="1c1c1c"/>
          <w:sz w:val="20"/>
          <w:szCs w:val="20"/>
          <w:u w:val="none"/>
          <w:shd w:fill="auto" w:val="clear"/>
          <w:vertAlign w:val="baseline"/>
          <w:rtl w:val="0"/>
        </w:rPr>
        <w:t xml:space="preserve">Jazz in Starówka</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International Outdoor Festival.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Already </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at 5PM on Friday, 19 July,</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we invite you to a </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launch of the 71st birthday of Starówka</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Czessband</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with Cała Praga Śpiewa senior band will perform, and an hour later the highlight of the evening—</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Molesta Ewenement</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a legendary Polish hip-hop band. </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Czessband</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is a Warsaw-based group whose repertoire is based on beautiful Balkan and Hungarian tunes, and on a plethora of splendid Warsaw oldies goldies. </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Molesta Ewenement</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a hip-hop music band formed in 1995, is considered one of the pioneers of the street rap genre in Poland.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On Saturday, 20 July</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you will have a chance to listen to a lecture about the reconstruction of the Old Town. The Ukrainian House invites you to </w:t>
      </w:r>
      <w:r w:rsidDel="00000000" w:rsidR="00000000" w:rsidRPr="00000000">
        <w:rPr>
          <w:rFonts w:ascii="Calibri" w:cs="Calibri" w:eastAsia="Calibri" w:hAnsi="Calibri"/>
          <w:b w:val="0"/>
          <w:i w:val="1"/>
          <w:smallCaps w:val="0"/>
          <w:strike w:val="0"/>
          <w:color w:val="1c1c1c"/>
          <w:sz w:val="20"/>
          <w:szCs w:val="20"/>
          <w:u w:val="none"/>
          <w:shd w:fill="auto" w:val="clear"/>
          <w:vertAlign w:val="baseline"/>
          <w:rtl w:val="0"/>
        </w:rPr>
        <w:t xml:space="preserve">Time Travel: Discovering the Heritage of Warsaw’s Old Town</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A lesson for adults in Ukrainian will uncover the secrets of the architecture, events, and biographies of the individuals who shaped the character of Warsaw’s Starówka. Saturday is also a good day to see one of the many exhibitions or participate in guided tours, for example, at the Association of Art Historians or the Heritage Interpretation Centre. There, at 10AM, a </w:t>
      </w:r>
      <w:r w:rsidDel="00000000" w:rsidR="00000000" w:rsidRPr="00000000">
        <w:rPr>
          <w:rFonts w:ascii="Calibri" w:cs="Calibri" w:eastAsia="Calibri" w:hAnsi="Calibri"/>
          <w:b w:val="0"/>
          <w:i w:val="1"/>
          <w:smallCaps w:val="0"/>
          <w:strike w:val="0"/>
          <w:color w:val="1c1c1c"/>
          <w:sz w:val="20"/>
          <w:szCs w:val="20"/>
          <w:u w:val="none"/>
          <w:shd w:fill="auto" w:val="clear"/>
          <w:vertAlign w:val="baseline"/>
          <w:rtl w:val="0"/>
        </w:rPr>
        <w:t xml:space="preserve">Story of Reconstructed Warsaw</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is planned—a tour for people with intellectual disabilities, and two hours later another tour for people with impaired hearing, with translation into Polish Sign Language. In the evening, we invite you to a concert by Aga Zaryan Quintet at the 30th </w:t>
      </w:r>
      <w:r w:rsidDel="00000000" w:rsidR="00000000" w:rsidRPr="00000000">
        <w:rPr>
          <w:rFonts w:ascii="Calibri" w:cs="Calibri" w:eastAsia="Calibri" w:hAnsi="Calibri"/>
          <w:b w:val="0"/>
          <w:i w:val="1"/>
          <w:smallCaps w:val="0"/>
          <w:strike w:val="0"/>
          <w:color w:val="1c1c1c"/>
          <w:sz w:val="20"/>
          <w:szCs w:val="20"/>
          <w:u w:val="none"/>
          <w:shd w:fill="auto" w:val="clear"/>
          <w:vertAlign w:val="baseline"/>
          <w:rtl w:val="0"/>
        </w:rPr>
        <w:t xml:space="preserve">Jazz na Starówce</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International Outdoor Jazz Festival. Aga Zaryan is the first Polish artist to release albums for the legendary New York-based Blue Note Records label and one of the best Polish jazz vocalists. She has gained the acclaim of audiences from Tokyo to New York. In July, it is Warsaw’s turn to enjoy her enormous talent!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You can begin</w:t>
      </w: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 Sunday, 21 July</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by joining a multicultural breakfast as part of the series </w:t>
      </w:r>
      <w:r w:rsidDel="00000000" w:rsidR="00000000" w:rsidRPr="00000000">
        <w:rPr>
          <w:rFonts w:ascii="Calibri" w:cs="Calibri" w:eastAsia="Calibri" w:hAnsi="Calibri"/>
          <w:b w:val="0"/>
          <w:i w:val="1"/>
          <w:smallCaps w:val="0"/>
          <w:strike w:val="0"/>
          <w:color w:val="1c1c1c"/>
          <w:sz w:val="20"/>
          <w:szCs w:val="20"/>
          <w:u w:val="none"/>
          <w:shd w:fill="auto" w:val="clear"/>
          <w:vertAlign w:val="baseline"/>
          <w:rtl w:val="0"/>
        </w:rPr>
        <w:t xml:space="preserve">Intangible Warsaw: Breakfasts with New Warsaw Songs</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A Latin-style breakfast will be served at the Common Table standing in front of the Museum of Warsaw’s main seat. The breakfast will be hosted by José Torres, a Cuban-Polish musician, percussion virtuoso and initiator of the first salsa orchestra, Jose Torres y Salsa Tropical. Sunday also offers many attractions for the youngest visitors. At 12 noon, the Museum of Literature invites you to</w:t>
      </w:r>
      <w:r w:rsidDel="00000000" w:rsidR="00000000" w:rsidRPr="00000000">
        <w:rPr>
          <w:rFonts w:ascii="Calibri" w:cs="Calibri" w:eastAsia="Calibri" w:hAnsi="Calibri"/>
          <w:b w:val="0"/>
          <w:i w:val="1"/>
          <w:smallCaps w:val="0"/>
          <w:strike w:val="0"/>
          <w:color w:val="1c1c1c"/>
          <w:sz w:val="20"/>
          <w:szCs w:val="20"/>
          <w:u w:val="none"/>
          <w:shd w:fill="auto" w:val="clear"/>
          <w:vertAlign w:val="baseline"/>
          <w:rtl w:val="0"/>
        </w:rPr>
        <w:t xml:space="preserve"> Muzyczne podróże Pchły Szachrajki</w:t>
      </w: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 [Musical Travels of Flea Named Szachrajka] – an interactive performance for children aged 4-10. The performance is based on the texts of classic Polish children’s poets Jan Brzechwa and Julian Tuwim. On Sunday, you can also visit art studios under the care of the municipal Conservation Officer, or listen to numerous concerts. Those who enjoy discovering secrets should listen to the lectures and join in the walks. The Old Town will reveal usually inaccessible nooks and corners, such as closed courtyards and basements. Birdwatching walk with Staszek Łubieński is yet another interesting option. Participants will listen about the bird species flying around the Old Town and will learn how to find them and spot them with binoculars.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To encourage guests to the 71st birthday of Starówka to explore the rich cultural offer of the Old Town institutions, the organizers have prepared maps to help collect stamps. The first 500 people who visit at least 15 participating institutions will receive a gift.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1"/>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71st birthday of Starówka, Warsaw’s Old Town, will be celebrated on 19, 20 and 21 July in the Old Town of Warsaw and its vicinity. Admission to the majority of events is free. Booking is required for some events.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Program, interactive map of institutions located in the Old Town and detailed information about registration are available on </w:t>
      </w:r>
      <w:hyperlink r:id="rId9">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www.grupastarowka.pl</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highlight w:val="green"/>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1"/>
          <w:i w:val="0"/>
          <w:smallCaps w:val="0"/>
          <w:strike w:val="0"/>
          <w:color w:val="1c1c1c"/>
          <w:sz w:val="20"/>
          <w:szCs w:val="20"/>
          <w:u w:val="none"/>
          <w:shd w:fill="auto" w:val="clear"/>
          <w:vertAlign w:val="baseline"/>
          <w:rtl w:val="0"/>
        </w:rPr>
        <w:t xml:space="preserve">Organizers: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1c1c1c"/>
          <w:sz w:val="20"/>
          <w:szCs w:val="20"/>
          <w:u w:val="none"/>
          <w:shd w:fill="auto" w:val="clear"/>
          <w:vertAlign w:val="baseline"/>
        </w:rPr>
      </w:pPr>
      <w:r w:rsidDel="00000000" w:rsidR="00000000" w:rsidRPr="00000000">
        <w:rPr>
          <w:rFonts w:ascii="Calibri" w:cs="Calibri" w:eastAsia="Calibri" w:hAnsi="Calibri"/>
          <w:b w:val="0"/>
          <w:i w:val="0"/>
          <w:smallCaps w:val="0"/>
          <w:strike w:val="0"/>
          <w:color w:val="1c1c1c"/>
          <w:sz w:val="20"/>
          <w:szCs w:val="20"/>
          <w:u w:val="none"/>
          <w:shd w:fill="auto" w:val="clear"/>
          <w:vertAlign w:val="baseline"/>
          <w:rtl w:val="0"/>
        </w:rPr>
        <w:t xml:space="preserve">Central Archives of Historical Records; State Archives in Warsaw; Public Library in the Śródmieście District of the Capital City of Warsaw; Office of the Municipal Conservation Officer; Capital City of Warsaw’s Guild of Goldsmiths, Watchmakers, Opticians, Engravers, and Bronze Workers; Rodzinna Warszawa Family Support Centre; History Meeting House; House of Folk Art; 'Sacred Music Festival' Foundation; Alina Foundation; Jazz Art Foundation; Polish Armenians’ Culture and Heritage Foundation; Musical Gardens Foundation; Sto Pociech Foundation; Ukrainian House Foundation; Historic Art Studio of Z. Maleszewski, represented by the Z. Maleszewski Polish Sculpture Foundation; Historic Studio of the Jarnuszkiewicz Family; Slovak Institute; Kataryniarz Jan; Archdiocese Museum in Warsaw; Warsaw Caricature Museum; Adam Mickiewicz Museum of Literature; Maria Skłodowska-Curie Museum; Museum of Warsaw; Cold War Museum; Architectural Studio of Krystyna Gutkowska; Art Studio of the Kann Family; Photographic Studio of Jagoda Przybylak; Rechowicz Artistic Studio; Przemysław Kapituła Surzyński and Nowowiejski Institute; Old Town Cultural Centre; KEN Municipal Centre for Cultural Education; Association of Art Historians; Society of History Enthusiasts; Friends of Warsaw Society; 'Synergy' Warsaw Social Innovation Lab; Stanisław Moniuszko Warsaw Music Society; Royal Castle in Warsaw; Polish Composers' Union; Association of Polish Artists of Photographers; Warsaw Uprising Insurgents Association.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b w:val="1"/>
          <w:sz w:val="20"/>
          <w:szCs w:val="20"/>
        </w:rPr>
        <w:drawing>
          <wp:inline distB="114300" distT="114300" distL="114300" distR="114300">
            <wp:extent cx="5760410" cy="6324600"/>
            <wp:effectExtent b="0" l="0" r="0" t="0"/>
            <wp:docPr id="1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60410" cy="63246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120" w:before="120" w:line="36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19">
      <w:pPr>
        <w:spacing w:after="120" w:before="120" w:line="360" w:lineRule="auto"/>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1A">
      <w:pPr>
        <w:spacing w:after="120" w:before="120" w:line="36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Contact for the media:</w:t>
      </w:r>
    </w:p>
    <w:p w:rsidR="00000000" w:rsidDel="00000000" w:rsidP="00000000" w:rsidRDefault="00000000" w:rsidRPr="00000000" w14:paraId="0000001B">
      <w:pPr>
        <w:spacing w:after="120" w:before="120" w:line="360" w:lineRule="auto"/>
        <w:jc w:val="both"/>
        <w:rPr>
          <w:rFonts w:ascii="Calibri" w:cs="Calibri" w:eastAsia="Calibri" w:hAnsi="Calibri"/>
          <w:color w:val="000000"/>
          <w:sz w:val="18"/>
          <w:szCs w:val="18"/>
        </w:rPr>
      </w:pPr>
      <w:bookmarkStart w:colFirst="0" w:colLast="0" w:name="_heading=h.1fob9te" w:id="2"/>
      <w:bookmarkEnd w:id="2"/>
      <w:r w:rsidDel="00000000" w:rsidR="00000000" w:rsidRPr="00000000">
        <w:rPr>
          <w:rFonts w:ascii="Calibri" w:cs="Calibri" w:eastAsia="Calibri" w:hAnsi="Calibri"/>
          <w:color w:val="000000"/>
          <w:sz w:val="18"/>
          <w:szCs w:val="18"/>
          <w:rtl w:val="0"/>
        </w:rPr>
        <w:t xml:space="preserve">Magdalena Gorlas </w:t>
      </w:r>
    </w:p>
    <w:p w:rsidR="00000000" w:rsidDel="00000000" w:rsidP="00000000" w:rsidRDefault="00000000" w:rsidRPr="00000000" w14:paraId="0000001C">
      <w:pPr>
        <w:spacing w:after="120" w:before="120"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Museum of Warsaw</w:t>
      </w:r>
    </w:p>
    <w:p w:rsidR="00000000" w:rsidDel="00000000" w:rsidP="00000000" w:rsidRDefault="00000000" w:rsidRPr="00000000" w14:paraId="0000001D">
      <w:pPr>
        <w:spacing w:after="120" w:before="120" w:line="360" w:lineRule="auto"/>
        <w:jc w:val="both"/>
        <w:rPr>
          <w:rFonts w:ascii="Calibri" w:cs="Calibri" w:eastAsia="Calibri" w:hAnsi="Calibri"/>
          <w:color w:val="000000"/>
          <w:sz w:val="18"/>
          <w:szCs w:val="18"/>
        </w:rPr>
      </w:pPr>
      <w:hyperlink r:id="rId11">
        <w:r w:rsidDel="00000000" w:rsidR="00000000" w:rsidRPr="00000000">
          <w:rPr>
            <w:rFonts w:ascii="Calibri" w:cs="Calibri" w:eastAsia="Calibri" w:hAnsi="Calibri"/>
            <w:color w:val="0563c1"/>
            <w:sz w:val="18"/>
            <w:szCs w:val="18"/>
            <w:u w:val="single"/>
            <w:rtl w:val="0"/>
          </w:rPr>
          <w:t xml:space="preserve">magdalena.gorlas@muzeumwarszawy.pl</w:t>
        </w:r>
      </w:hyperlink>
      <w:r w:rsidDel="00000000" w:rsidR="00000000" w:rsidRPr="00000000">
        <w:rPr>
          <w:rtl w:val="0"/>
        </w:rPr>
      </w:r>
    </w:p>
    <w:p w:rsidR="00000000" w:rsidDel="00000000" w:rsidP="00000000" w:rsidRDefault="00000000" w:rsidRPr="00000000" w14:paraId="0000001E">
      <w:pPr>
        <w:spacing w:after="120" w:before="120" w:line="36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22 277 43 94</w:t>
      </w:r>
    </w:p>
    <w:p w:rsidR="00000000" w:rsidDel="00000000" w:rsidP="00000000" w:rsidRDefault="00000000" w:rsidRPr="00000000" w14:paraId="0000001F">
      <w:pPr>
        <w:spacing w:after="120" w:before="120" w:line="36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Information on individual events can be obtained directly from the institutions that organize them.</w:t>
      </w:r>
    </w:p>
    <w:sectPr>
      <w:headerReference r:id="rId12" w:type="default"/>
      <w:footerReference r:id="rId13" w:type="default"/>
      <w:pgSz w:h="16838" w:w="11906" w:orient="portrait"/>
      <w:pgMar w:bottom="1417" w:top="1418" w:left="1417" w:right="1417" w:header="708" w:footer="3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6890" cy="4572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890" cy="4572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Muzeum Warszawy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Rynek Starego Miasta 28-42, 00-272 Warszawa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tel. (+48) 22 277 43 00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www.muzeumwarszawy.pl / sekretariat@muzeumwarszawy.pl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899795</wp:posOffset>
          </wp:positionH>
          <wp:positionV relativeFrom="page">
            <wp:posOffset>344170</wp:posOffset>
          </wp:positionV>
          <wp:extent cx="1143000" cy="397510"/>
          <wp:effectExtent b="0" l="0" r="0" t="0"/>
          <wp:wrapNone/>
          <wp:docPr id="1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43000" cy="3975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tabs>
        <w:tab w:val="center" w:leader="none" w:pos="4536"/>
        <w:tab w:val="right" w:leader="none" w:pos="9072"/>
      </w:tabs>
      <w:spacing w:after="0" w:line="240" w:lineRule="auto"/>
    </w:pPr>
    <w:rPr>
      <w:rFonts w:ascii="Cambria" w:cs="Cambria" w:eastAsia="Cambria" w:hAnsi="Cambria"/>
      <w:color w:val="000000"/>
      <w:sz w:val="24"/>
      <w:szCs w:val="24"/>
      <w:u w:val="no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7959"/>
    <w:pPr>
      <w:suppressAutoHyphens w:val="1"/>
      <w:spacing w:line="256" w:lineRule="auto"/>
    </w:pPr>
    <w:rPr>
      <w:rFonts w:ascii="Calibri" w:cs="Calibri" w:eastAsia="Arial Unicode MS" w:hAnsi="Calibri"/>
      <w:lang w:eastAsia="ar-SA"/>
    </w:rPr>
  </w:style>
  <w:style w:type="paragraph" w:styleId="Heading3">
    <w:name w:val="heading 3"/>
    <w:basedOn w:val="Header"/>
    <w:link w:val="Heading3Char"/>
    <w:qFormat w:val="1"/>
    <w:rsid w:val="00C05AB3"/>
    <w:pPr>
      <w:outlineLvl w:val="2"/>
    </w:pPr>
    <w:rPr>
      <w:rFonts w:ascii="Cambria" w:cs="Cambria" w:eastAsia="Cambria" w:hAnsi="Cambria"/>
      <w:color w:val="000000"/>
      <w:sz w:val="24"/>
      <w:szCs w:val="24"/>
      <w:u w:color="000000"/>
      <w:lang w:eastAsia="pl-P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uiPriority w:val="99"/>
    <w:rsid w:val="0091236E"/>
    <w:pPr>
      <w:suppressAutoHyphens w:val="1"/>
      <w:autoSpaceDN w:val="0"/>
      <w:spacing w:after="100" w:before="100" w:line="240" w:lineRule="auto"/>
      <w:textAlignment w:val="baseline"/>
    </w:pPr>
    <w:rPr>
      <w:rFonts w:ascii="Times New Roman" w:cs="Times New Roman" w:eastAsia="Times New Roman" w:hAnsi="Times New Roman"/>
      <w:color w:val="000000"/>
      <w:kern w:val="3"/>
      <w:sz w:val="24"/>
      <w:szCs w:val="24"/>
      <w:lang w:eastAsia="pl-PL"/>
    </w:rPr>
  </w:style>
  <w:style w:type="character" w:styleId="Hyperlink">
    <w:name w:val="Hyperlink"/>
    <w:basedOn w:val="DefaultParagraphFont"/>
    <w:unhideWhenUsed w:val="1"/>
    <w:rsid w:val="00110904"/>
    <w:rPr>
      <w:color w:val="0563c1" w:themeColor="hyperlink"/>
      <w:u w:val="single"/>
    </w:rPr>
  </w:style>
  <w:style w:type="character" w:styleId="Nierozpoznanawzmianka1" w:customStyle="1">
    <w:name w:val="Nierozpoznana wzmianka1"/>
    <w:basedOn w:val="DefaultParagraphFont"/>
    <w:uiPriority w:val="99"/>
    <w:semiHidden w:val="1"/>
    <w:unhideWhenUsed w:val="1"/>
    <w:rsid w:val="00110904"/>
    <w:rPr>
      <w:color w:val="605e5c"/>
      <w:shd w:color="auto" w:fill="e1dfdd" w:val="clear"/>
    </w:rPr>
  </w:style>
  <w:style w:type="character" w:styleId="Heading3Char" w:customStyle="1">
    <w:name w:val="Heading 3 Char"/>
    <w:basedOn w:val="DefaultParagraphFont"/>
    <w:link w:val="Heading3"/>
    <w:rsid w:val="00C05AB3"/>
    <w:rPr>
      <w:rFonts w:ascii="Cambria" w:cs="Cambria" w:eastAsia="Cambria" w:hAnsi="Cambria"/>
      <w:color w:val="000000"/>
      <w:sz w:val="24"/>
      <w:szCs w:val="24"/>
      <w:u w:color="000000"/>
      <w:lang w:eastAsia="pl-PL"/>
    </w:rPr>
  </w:style>
  <w:style w:type="character" w:styleId="Wyrnienie" w:customStyle="1">
    <w:name w:val="Wyróżnienie"/>
    <w:qFormat w:val="1"/>
    <w:rsid w:val="00C05AB3"/>
    <w:rPr>
      <w:i w:val="1"/>
      <w:iCs w:val="1"/>
    </w:rPr>
  </w:style>
  <w:style w:type="paragraph" w:styleId="Header">
    <w:name w:val="header"/>
    <w:basedOn w:val="Normal"/>
    <w:link w:val="HeaderChar"/>
    <w:uiPriority w:val="99"/>
    <w:unhideWhenUsed w:val="1"/>
    <w:rsid w:val="00C05AB3"/>
    <w:pPr>
      <w:tabs>
        <w:tab w:val="center" w:pos="4536"/>
        <w:tab w:val="right" w:pos="9072"/>
      </w:tabs>
      <w:spacing w:after="0" w:line="240" w:lineRule="auto"/>
    </w:pPr>
  </w:style>
  <w:style w:type="character" w:styleId="HeaderChar" w:customStyle="1">
    <w:name w:val="Header Char"/>
    <w:basedOn w:val="DefaultParagraphFont"/>
    <w:link w:val="Header"/>
    <w:uiPriority w:val="99"/>
    <w:rsid w:val="00C05AB3"/>
  </w:style>
  <w:style w:type="character" w:styleId="Brak" w:customStyle="1">
    <w:name w:val="Brak"/>
    <w:rsid w:val="007267B1"/>
  </w:style>
  <w:style w:type="paragraph" w:styleId="Domylne" w:customStyle="1">
    <w:name w:val="Domyślne"/>
    <w:rsid w:val="00A41D8F"/>
    <w:pPr>
      <w:pBdr>
        <w:top w:color="ffffff" w:frame="1" w:space="31" w:sz="96" w:val="none"/>
        <w:left w:color="ffffff" w:frame="1" w:space="31" w:sz="96" w:val="none"/>
        <w:bottom w:color="ffffff" w:frame="1" w:space="31" w:sz="96" w:val="none"/>
        <w:right w:color="ffffff" w:frame="1" w:space="31" w:sz="96" w:val="none"/>
        <w:bar w:color="000000" w:space="0" w:sz="0" w:val="none"/>
      </w:pBdr>
      <w:spacing w:after="0" w:line="240" w:lineRule="auto"/>
    </w:pPr>
    <w:rPr>
      <w:rFonts w:ascii="Helvetica Neue" w:cs="Arial Unicode MS" w:eastAsia="Arial Unicode MS" w:hAnsi="Helvetica Neue"/>
      <w:color w:val="000000"/>
      <w:lang w:eastAsia="pl-PL"/>
    </w:rPr>
  </w:style>
  <w:style w:type="paragraph" w:styleId="Footer">
    <w:name w:val="footer"/>
    <w:basedOn w:val="Normal"/>
    <w:link w:val="FooterChar"/>
    <w:unhideWhenUsed w:val="1"/>
    <w:rsid w:val="005B7A32"/>
    <w:pPr>
      <w:tabs>
        <w:tab w:val="center" w:pos="4536"/>
        <w:tab w:val="right" w:pos="9072"/>
      </w:tabs>
      <w:spacing w:after="0" w:line="240" w:lineRule="auto"/>
    </w:pPr>
  </w:style>
  <w:style w:type="character" w:styleId="FooterChar" w:customStyle="1">
    <w:name w:val="Footer Char"/>
    <w:basedOn w:val="DefaultParagraphFont"/>
    <w:link w:val="Footer"/>
    <w:uiPriority w:val="99"/>
    <w:rsid w:val="005B7A32"/>
  </w:style>
  <w:style w:type="paragraph" w:styleId="BalloonText">
    <w:name w:val="Balloon Text"/>
    <w:basedOn w:val="Normal"/>
    <w:link w:val="BalloonTextChar"/>
    <w:uiPriority w:val="99"/>
    <w:semiHidden w:val="1"/>
    <w:unhideWhenUsed w:val="1"/>
    <w:rsid w:val="007E07E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E07EF"/>
    <w:rPr>
      <w:rFonts w:ascii="Segoe UI" w:cs="Segoe UI" w:hAnsi="Segoe UI"/>
      <w:sz w:val="18"/>
      <w:szCs w:val="18"/>
    </w:rPr>
  </w:style>
  <w:style w:type="paragraph" w:styleId="Revision">
    <w:name w:val="Revision"/>
    <w:hidden w:val="1"/>
    <w:uiPriority w:val="99"/>
    <w:semiHidden w:val="1"/>
    <w:rsid w:val="001337D4"/>
    <w:pPr>
      <w:spacing w:after="0" w:line="240" w:lineRule="auto"/>
    </w:pPr>
  </w:style>
  <w:style w:type="character" w:styleId="CommentReference">
    <w:name w:val="annotation reference"/>
    <w:basedOn w:val="DefaultParagraphFont"/>
    <w:uiPriority w:val="99"/>
    <w:semiHidden w:val="1"/>
    <w:unhideWhenUsed w:val="1"/>
    <w:rsid w:val="0030186F"/>
    <w:rPr>
      <w:sz w:val="16"/>
      <w:szCs w:val="16"/>
    </w:rPr>
  </w:style>
  <w:style w:type="paragraph" w:styleId="CommentText">
    <w:name w:val="annotation text"/>
    <w:basedOn w:val="Normal"/>
    <w:link w:val="CommentTextChar"/>
    <w:uiPriority w:val="99"/>
    <w:semiHidden w:val="1"/>
    <w:unhideWhenUsed w:val="1"/>
    <w:rsid w:val="0030186F"/>
    <w:pPr>
      <w:spacing w:line="240" w:lineRule="auto"/>
    </w:pPr>
    <w:rPr>
      <w:sz w:val="20"/>
      <w:szCs w:val="20"/>
    </w:rPr>
  </w:style>
  <w:style w:type="character" w:styleId="CommentTextChar" w:customStyle="1">
    <w:name w:val="Comment Text Char"/>
    <w:basedOn w:val="DefaultParagraphFont"/>
    <w:link w:val="CommentText"/>
    <w:uiPriority w:val="99"/>
    <w:semiHidden w:val="1"/>
    <w:rsid w:val="0030186F"/>
    <w:rPr>
      <w:sz w:val="20"/>
      <w:szCs w:val="20"/>
    </w:rPr>
  </w:style>
  <w:style w:type="paragraph" w:styleId="CommentSubject">
    <w:name w:val="annotation subject"/>
    <w:basedOn w:val="CommentText"/>
    <w:next w:val="CommentText"/>
    <w:link w:val="CommentSubjectChar"/>
    <w:uiPriority w:val="99"/>
    <w:semiHidden w:val="1"/>
    <w:unhideWhenUsed w:val="1"/>
    <w:rsid w:val="0030186F"/>
    <w:rPr>
      <w:b w:val="1"/>
      <w:bCs w:val="1"/>
    </w:rPr>
  </w:style>
  <w:style w:type="character" w:styleId="CommentSubjectChar" w:customStyle="1">
    <w:name w:val="Comment Subject Char"/>
    <w:basedOn w:val="CommentTextChar"/>
    <w:link w:val="CommentSubject"/>
    <w:uiPriority w:val="99"/>
    <w:semiHidden w:val="1"/>
    <w:rsid w:val="0030186F"/>
    <w:rPr>
      <w:b w:val="1"/>
      <w:bCs w:val="1"/>
      <w:sz w:val="20"/>
      <w:szCs w:val="20"/>
    </w:rPr>
  </w:style>
  <w:style w:type="paragraph" w:styleId="EndnoteText">
    <w:name w:val="endnote text"/>
    <w:basedOn w:val="Normal"/>
    <w:link w:val="EndnoteTextChar"/>
    <w:uiPriority w:val="99"/>
    <w:semiHidden w:val="1"/>
    <w:unhideWhenUsed w:val="1"/>
    <w:rsid w:val="00CB1364"/>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CB1364"/>
    <w:rPr>
      <w:sz w:val="20"/>
      <w:szCs w:val="20"/>
    </w:rPr>
  </w:style>
  <w:style w:type="character" w:styleId="EndnoteReference">
    <w:name w:val="endnote reference"/>
    <w:basedOn w:val="DefaultParagraphFont"/>
    <w:uiPriority w:val="99"/>
    <w:semiHidden w:val="1"/>
    <w:unhideWhenUsed w:val="1"/>
    <w:rsid w:val="00CB1364"/>
    <w:rPr>
      <w:vertAlign w:val="superscript"/>
    </w:rPr>
  </w:style>
  <w:style w:type="character" w:styleId="Nierozpoznanawzmianka2" w:customStyle="1">
    <w:name w:val="Nierozpoznana wzmianka2"/>
    <w:basedOn w:val="DefaultParagraphFont"/>
    <w:uiPriority w:val="99"/>
    <w:semiHidden w:val="1"/>
    <w:unhideWhenUsed w:val="1"/>
    <w:rsid w:val="006179BA"/>
    <w:rPr>
      <w:color w:val="605e5c"/>
      <w:shd w:color="auto" w:fill="e1dfdd" w:val="clear"/>
    </w:rPr>
  </w:style>
  <w:style w:type="paragraph" w:styleId="NormalnyWeb1" w:customStyle="1">
    <w:name w:val="Normalny (Web)1"/>
    <w:rsid w:val="00D57959"/>
    <w:pPr>
      <w:suppressAutoHyphens w:val="1"/>
      <w:spacing w:after="100" w:before="100" w:line="100" w:lineRule="atLeast"/>
    </w:pPr>
    <w:rPr>
      <w:rFonts w:ascii="Times New Roman" w:cs="Times New Roman" w:eastAsia="Times New Roman" w:hAnsi="Times New Roman"/>
      <w:color w:val="000000"/>
      <w:kern w:val="1"/>
      <w:sz w:val="24"/>
      <w:szCs w:val="24"/>
      <w:lang w:eastAsia="ar-SA"/>
    </w:rPr>
  </w:style>
  <w:style w:type="character" w:styleId="Nierozpoznanawzmianka3" w:customStyle="1">
    <w:name w:val="Nierozpoznana wzmianka3"/>
    <w:basedOn w:val="DefaultParagraphFont"/>
    <w:uiPriority w:val="99"/>
    <w:semiHidden w:val="1"/>
    <w:unhideWhenUsed w:val="1"/>
    <w:rsid w:val="00AD20C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agdalena.gorlas@muzeumwarszawy.pl" TargetMode="External"/><Relationship Id="rId10" Type="http://schemas.openxmlformats.org/officeDocument/2006/relationships/image" Target="media/image4.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upastarowka.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grupastarow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SKeC8PjHuDAUp8MmBGspGpCEA==">CgMxLjAyCGguZ2pkZ3hzMgloLjMwajB6bGwyCWguMWZvYjl0ZTgAciExZ1J4X1BBdDNtVVkxeG9aVkNwUkFtS3NtblktUWtsNjU=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2024-06-16T17:48:00Z</dcterms:created>
  <dc:creator>Aleksandra Migacz</dc:creator>
</cp:coreProperties>
</file>