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E3EE" w14:textId="6A875FE1" w:rsidR="00347A20" w:rsidRPr="003F43C9" w:rsidRDefault="003F43C9" w:rsidP="003F43C9">
      <w:pPr>
        <w:pStyle w:val="Nagwek3"/>
        <w:spacing w:before="60" w:after="60" w:line="360" w:lineRule="auto"/>
        <w:rPr>
          <w:rStyle w:val="Pogrubienie"/>
          <w:rFonts w:ascii="Arial" w:hAnsi="Arial" w:cs="Arial"/>
          <w:sz w:val="36"/>
          <w:szCs w:val="32"/>
        </w:rPr>
      </w:pPr>
      <w:r>
        <w:rPr>
          <w:rStyle w:val="Pogrubienie"/>
          <w:rFonts w:ascii="Arial" w:hAnsi="Arial" w:cs="Arial"/>
          <w:noProof/>
          <w:color w:val="1C1C1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70E6622" wp14:editId="0DB48719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73405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28" y="21531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A95" w:rsidRPr="00542A95">
        <w:rPr>
          <w:rStyle w:val="Mocnowyrniony"/>
          <w:rFonts w:ascii="Arial" w:hAnsi="Arial" w:cs="Arial"/>
          <w:sz w:val="36"/>
          <w:szCs w:val="32"/>
        </w:rPr>
        <w:t>Noc Muzeów 202</w:t>
      </w:r>
      <w:r w:rsidR="00347A20">
        <w:rPr>
          <w:rStyle w:val="Mocnowyrniony"/>
          <w:rFonts w:ascii="Arial" w:hAnsi="Arial" w:cs="Arial"/>
          <w:sz w:val="36"/>
          <w:szCs w:val="32"/>
        </w:rPr>
        <w:t>3</w:t>
      </w:r>
      <w:r w:rsidR="00542A95" w:rsidRPr="00542A95">
        <w:rPr>
          <w:rStyle w:val="Mocnowyrniony"/>
          <w:rFonts w:ascii="Arial" w:hAnsi="Arial" w:cs="Arial"/>
          <w:sz w:val="36"/>
          <w:szCs w:val="32"/>
        </w:rPr>
        <w:t xml:space="preserve"> w Muzeum Warszawy!</w:t>
      </w:r>
    </w:p>
    <w:p w14:paraId="2D10D52C" w14:textId="5A72BE72" w:rsidR="00542A95" w:rsidRPr="001B3D2C" w:rsidRDefault="00542A95" w:rsidP="00944081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Jak co roku Muzeum Warszawy zaprasza na majowe święto muzeów! W sobotni wieczór 1</w:t>
      </w:r>
      <w:r w:rsid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3</w:t>
      </w: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 maja w</w:t>
      </w:r>
      <w:r w:rsidR="00C85BD5"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 </w:t>
      </w: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siedzibie głównej i oddziałach będzie można nie tylko zwiedzić wystawy po zmroku, ale także wziąć udział w specjalnie przygotowanych oprowadzaniach, warsztatach i spacerach, posłuchać muzyki czy obejrzeć filmy.</w:t>
      </w:r>
      <w:r w:rsidR="00944081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 Na Rynku Starego Miasta aż trzy koncerty zagra Janek Młynarski i</w:t>
      </w:r>
      <w:r w:rsidR="00E14A58">
        <w:rPr>
          <w:rStyle w:val="Pogrubienie"/>
          <w:rFonts w:ascii="Arial" w:eastAsia="Cambria" w:hAnsi="Arial" w:cs="Arial"/>
          <w:color w:val="1C1C1C"/>
          <w:sz w:val="20"/>
          <w:szCs w:val="20"/>
        </w:rPr>
        <w:t> </w:t>
      </w:r>
      <w:r w:rsidR="00944081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Warszawskie Combo Taneczne. </w:t>
      </w: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Na wszystkie wystawy i wydarzenia wstęp wolny!</w:t>
      </w:r>
    </w:p>
    <w:p w14:paraId="7611D333" w14:textId="77777777" w:rsidR="004E2E2F" w:rsidRPr="004F50EE" w:rsidRDefault="004E2E2F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14"/>
          <w:szCs w:val="20"/>
        </w:rPr>
      </w:pPr>
    </w:p>
    <w:p w14:paraId="0723437C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Siedziba główna Muzeum Warszawy</w:t>
      </w:r>
    </w:p>
    <w:p w14:paraId="6EE0A4C4" w14:textId="399DB306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Rynek Starego Miasta 42</w:t>
      </w:r>
    </w:p>
    <w:p w14:paraId="0432AF6F" w14:textId="45C503D0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czynna w godz. 11.00–24.00</w:t>
      </w:r>
    </w:p>
    <w:p w14:paraId="2780F76A" w14:textId="047AD01A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Siedziba główna Muzeum Warszawy znajduje się w sercu Starego Miasta. W Noc Muzeów zwiedzający będą mogli zobaczyć wystawę główną zajmującą aż siedem pięter zabytkowych kamienic oraz dwie wystawy czasowe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: Biuro Odbudowy Ukrainy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oraz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Eurowarsztat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Marty Romankiv. Widzowie będą mogli wejść także na taras widokowy, z którego rozciąga się widok na dachy warszawskich kamienic oraz wziąć udział w oprowadzaniach. Wieczór uświetni występ </w:t>
      </w: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Janka Młynarskiego z zespołem Warszawskie Combo Taneczne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pod siedzibą główną Muzeum. Muzycy zagrają aż trzy razy – o</w:t>
      </w:r>
      <w:r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godzinie 20, 21 i 22.</w:t>
      </w:r>
    </w:p>
    <w:p w14:paraId="19A058EE" w14:textId="77777777" w:rsidR="00347A20" w:rsidRPr="003F43C9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"/>
          <w:szCs w:val="20"/>
        </w:rPr>
      </w:pPr>
    </w:p>
    <w:p w14:paraId="37805783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18.00 – oprowadzanie po wystawie głównej dla rodzin</w:t>
      </w:r>
    </w:p>
    <w:p w14:paraId="51AA0725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20.00 – oprowadzanie po wystawie głównej w języku polskim</w:t>
      </w:r>
    </w:p>
    <w:p w14:paraId="53DFB263" w14:textId="46E18D1B" w:rsid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21.00 – oprowadzanie po wystawie głównej w języku angielskim</w:t>
      </w:r>
    </w:p>
    <w:p w14:paraId="55EF2970" w14:textId="77777777" w:rsidR="00347A20" w:rsidRPr="003F43C9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"/>
          <w:szCs w:val="20"/>
        </w:rPr>
      </w:pPr>
    </w:p>
    <w:p w14:paraId="5F044C36" w14:textId="254D57F3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i/>
          <w:color w:val="1C1C1C"/>
          <w:sz w:val="20"/>
          <w:szCs w:val="20"/>
        </w:rPr>
        <w:t>Biuro Odbudowy Ukrainy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pokazuje zagadnienia, z którymi mierzą się osoby zaangażowane w</w:t>
      </w:r>
      <w:r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tworzenie realiów powojennej Ukrainy. Odbudowa to bowiem możliwość transformacji państwa – budowania nowych instytucji, porzucenia dotychczasowych przepisów, szybkiego wdrożenia reform. Na pytanie, jaka ma być Ukraina po wojnie, nie ma jednoznacznej odpowiedzi. Wystawa jest więc 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lastRenderedPageBreak/>
        <w:t xml:space="preserve">przestrzenią wymiany doświadczeń, a przede wszystkim namysłu nad możliwościami i problemami, przed którymi stoi Ukraina. Pokazywana jest w Gabinecie Zmiennym w siedzibie głównej (wejście od </w:t>
      </w:r>
      <w:r w:rsidR="00081AD1"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Rynk</w:t>
      </w:r>
      <w:r w:rsidR="00081AD1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 Starego Miasta</w:t>
      </w:r>
      <w:r w:rsidR="00081AD1"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32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).</w:t>
      </w:r>
    </w:p>
    <w:p w14:paraId="42EC94B9" w14:textId="71EEF54C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i/>
          <w:color w:val="1C1C1C"/>
          <w:sz w:val="20"/>
          <w:szCs w:val="20"/>
        </w:rPr>
        <w:t>Eurowarsztat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to otwarty projekt Marty Romankiv – urodzonej we Lwowie artystki, która od wielu lat mieszka, studiuje i pracuje w Polsce. W ramach swojego działania pyta migrantów i migrantki o to, jak widzą przyszłość Europy. Oddaje im przestrzeń i głos, tak często marginalizowany w debacie publicznej. Wystawę obejrzeć można w Galerii Rynek 30 (wejście od Rynk</w:t>
      </w:r>
      <w:r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 Starego Miasta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32).</w:t>
      </w:r>
    </w:p>
    <w:p w14:paraId="091266A3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21F81E22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Woli</w:t>
      </w:r>
    </w:p>
    <w:p w14:paraId="46A8CA8E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Srebrna 12</w:t>
      </w:r>
    </w:p>
    <w:p w14:paraId="5382303F" w14:textId="32300BEB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czynne w godz. 11.00–24.00</w:t>
      </w:r>
    </w:p>
    <w:p w14:paraId="4481B7A7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Zwiedzający Muzeum Woli będą mogli zobaczyć głośną wystawę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Kim Lee. Królowa Warszawy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wziąć udział w nocnych oprowadzaniach i pokazie filmu Piętro wyżej w reżyserii Leona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Trystana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. Wystawa Kim Lee. Królowa Warszawy przybliża sylwetkę najsłynniejszej warszawskiej drag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queen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. Wykreowana przez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Andy’ego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Nguyena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postać stała się ikoną polskiej kultury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queerowej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i królowała na warszawskiej scenie przez niemal dwie dekady, do śmierci w 2020 roku.</w:t>
      </w:r>
    </w:p>
    <w:p w14:paraId="3F6F688B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"/>
          <w:szCs w:val="20"/>
        </w:rPr>
      </w:pPr>
    </w:p>
    <w:p w14:paraId="300A8566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18.00–19.00 – oprowadzanie po wystawie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Kim Lee. Królowa Warszawy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</w:p>
    <w:p w14:paraId="1EAC58EC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20.00–21.30 – projekcja filmu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Piętro wyżej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(1937), reż. Leon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Trystan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scen. Eugeniusz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Bodo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i Ludwik Starski; występują: Eugeniusz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Bodo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Józef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Orwid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Helena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Grossówna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; projekcji towarzyszyła będzie krótka rozmowa </w:t>
      </w:r>
    </w:p>
    <w:p w14:paraId="54DC186B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22.00–23.00 – oprowadzanie po wystawie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Kim Lee. Królowa Warszawy</w:t>
      </w:r>
    </w:p>
    <w:p w14:paraId="1AA1B40A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48849E14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Muzeum Warszawskiej Pragi </w:t>
      </w:r>
    </w:p>
    <w:p w14:paraId="22B132D2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Targowa 50/52</w:t>
      </w:r>
    </w:p>
    <w:p w14:paraId="02F755B2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czynne w godz. 10.00–24.00 (ostatnie wejście o godz. 23.30)</w:t>
      </w:r>
    </w:p>
    <w:p w14:paraId="659F3201" w14:textId="0315AE43" w:rsid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 drugiej połowie XIX wieku kolej odegrała kluczową rolę w rozwoju prawobrzeżnej Warszawy i okolic. Uruchomienie dalekobieżnych dróg żelaznych uczyniło z warszawskiej Pragi ważny węzeł kolejowy. Tańszy import i eksport towarów przyciągnął przemysł. Nowo powstałe kolejki wąskotorowe Marecka i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Jabłonowska dowoziły nowych warszawiaków i cegłę na praskie domy, ułatwiały też dostęp do podwarszawskich letnisk. W tę szczególną noc Muzeum Warszawskiej Pragi zaprasza do odwiedzenia nowej wystawy czasowej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Kolej na Pragę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oraz na wieczór muzyczny z wątkami kolejowymi w tle na muzealnym dziedzińcu. Przez całą noc będzie dostępna również wystawa stała Muzeum Warszawskiej Pragi wraz z dawnymi modlitewniami żydowskimi w podwórzu Muzeum.</w:t>
      </w:r>
    </w:p>
    <w:p w14:paraId="31E8E4CD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274E2DE1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Izba Pamięci przy Cmentarzu Powstańców Warszawy</w:t>
      </w:r>
    </w:p>
    <w:p w14:paraId="7D42CF3A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Wolska 168</w:t>
      </w:r>
    </w:p>
    <w:p w14:paraId="4495050F" w14:textId="4E9E5514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czynna w godz. 9.00–24.00</w:t>
      </w:r>
    </w:p>
    <w:p w14:paraId="23EFF65B" w14:textId="5986B0DB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lastRenderedPageBreak/>
        <w:t>Izba Pamięci przy Cmentarzu Powstańców Warszawy to symboliczne miejsce poświęcone ofiarom powstania warszawskiego 1944 roku. W dwóch pawilonach i na Murze Pamięci upamiętniono dziesiątki tysięcy mieszkanek i mieszkańców stolicy. W Noc Muzeów, o godzinach 20 i 21, odbędą się kuratorskie oprowadzania po wystawach czasowych, a o godzinie 22 – nocny spacer W świetle pochodni po terenie Izby Pamięci i Cmentarza Powstańców Warszawy. Muzealny edukator, wspominając walczących w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powstaniu warszawskim i wspierającą żołnierzy ludność cywilną, poprowadzi uczestników alejami cmentarza i ścieżkami parku. Dzięki przystankom w miejscach upamiętnienia ofiar zwiedzający będą mieli możliwość uhonorowania poległych.</w:t>
      </w:r>
    </w:p>
    <w:p w14:paraId="47CAB5BC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4"/>
          <w:szCs w:val="20"/>
        </w:rPr>
      </w:pPr>
    </w:p>
    <w:p w14:paraId="46AABB5F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20.00, 21.00 – oprowadzania po wystawach czasowych w Izbie Pamięci</w:t>
      </w:r>
    </w:p>
    <w:p w14:paraId="1EE30FB1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22.00 – nocny spacer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W świetle pochodni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po terenie Izby Pamięci i Cmentarza Powstańców Warszawy</w:t>
      </w:r>
    </w:p>
    <w:p w14:paraId="07DDCD86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63224773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Farmacji</w:t>
      </w:r>
    </w:p>
    <w:p w14:paraId="351BE257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Piwna 31/33</w:t>
      </w:r>
    </w:p>
    <w:p w14:paraId="31C2126A" w14:textId="2B32BA7B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czynne w godz. 11.00–24.00 (ostatnie wejście o godz. 23.30)</w:t>
      </w:r>
    </w:p>
    <w:p w14:paraId="7D494359" w14:textId="6145F3D6" w:rsidR="00347A20" w:rsidRPr="00347A20" w:rsidRDefault="00347A20" w:rsidP="003F43C9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Zwiedzający Muzeum Farmacji zostaną zaproszeni do obejrzenia wystawy stałej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 xml:space="preserve">Res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Pharmaceuticae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, na której dyżurować będzie zespół Muzeum Farmacji. Wystawa przedstawiająca zrekonstruowane wnętrze apteki z dwudziestolecia międzywojennego, kolekcję naczyń i utensyliów aptecznych, szkło i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narzędzia stosowane w laboratoriach oraz zbiory leków japońskiej medycyny Kampo tworzy atrakcyjny klimat do nocnego zwiedzania. Ze względu na ograniczoną przestrzeń zwiedzający będą wchodzić w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grupach dwudziestoosobowych.</w:t>
      </w:r>
    </w:p>
    <w:p w14:paraId="2B055B0C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07829941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Odbudowy Starówki (Centrum Interpretacji Zabytku)</w:t>
      </w:r>
    </w:p>
    <w:p w14:paraId="383E0770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Brzozowa 11/13</w:t>
      </w:r>
    </w:p>
    <w:p w14:paraId="0822C1F8" w14:textId="5428CED5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czynne w godz. 11.00–24.00 </w:t>
      </w:r>
    </w:p>
    <w:p w14:paraId="0D13309E" w14:textId="2D827F26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Program Nocy Muzeów rozpocznie się w Centrum Interpretacji Zabytku już o godzinie 14 i potrwa do godziny 24. Widzowie będą mogli wziąć udział w oprowadzaniach i zwiedzić wystawę stałą. Ekspozycja Zniszczenie i odbudowa Starego Miasta przedstawia losy warszawskiej Starówki przed II wojną światową, w jej trakcie i po niej. Koncentruje się na odbudowie tego miejsca i wpisie na listę światowego dziedzictwa UNESCO.</w:t>
      </w:r>
      <w:r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Centrum Interpretacji Zabytku jest miejscem spotkań i rozmów o odbudowanym Starym Mieście, to unikatowe muzeum wykorzystujące w pełni nowoczesne technologie.</w:t>
      </w:r>
    </w:p>
    <w:p w14:paraId="343CD346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4"/>
          <w:szCs w:val="20"/>
        </w:rPr>
      </w:pPr>
    </w:p>
    <w:p w14:paraId="1C81EEE9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14.00 – oprowadzanie po wystawie stałej </w:t>
      </w:r>
      <w:r w:rsidRPr="00944081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Zniszczenie i odbudowa Starego Miasta</w:t>
      </w:r>
    </w:p>
    <w:p w14:paraId="3FB72940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16.00 – oprowadzanie w języku angielskim</w:t>
      </w:r>
    </w:p>
    <w:p w14:paraId="70B65676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18.00 – oprowadzanie dla rodzin</w:t>
      </w:r>
    </w:p>
    <w:p w14:paraId="1E1FE162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20.00 – oprowadzanie w języku ukraińskim</w:t>
      </w:r>
    </w:p>
    <w:p w14:paraId="48163176" w14:textId="66FE2B68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21.30 – oprowadzanie z Błażejem Brzostkiem</w:t>
      </w:r>
      <w:bookmarkStart w:id="0" w:name="_GoBack"/>
      <w:bookmarkEnd w:id="0"/>
    </w:p>
    <w:p w14:paraId="167452F0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6"/>
          <w:szCs w:val="20"/>
        </w:rPr>
      </w:pPr>
    </w:p>
    <w:p w14:paraId="079E7737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lastRenderedPageBreak/>
        <w:t>Muzeum Drukarstwa Warszawskiego</w:t>
      </w:r>
    </w:p>
    <w:p w14:paraId="65502B08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Ząbkowska 23/25</w:t>
      </w:r>
    </w:p>
    <w:p w14:paraId="4F8FB8A2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czynne w godz. 9.00–24.00</w:t>
      </w:r>
    </w:p>
    <w:p w14:paraId="57AAF9D0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Książka, druk typograficzny oraz techniki graficzne będą tematami przewodnimi w ramach Nocy Muzeów 2023 w Muzeum Drukarstwa Warszawskiego. Każdy odwiedzający to miejsce będzie mógł obejrzeć unikatowe wydawnictwa, wyjątkowe oprawy artystyczne, grafiki, maszyny drukarskie oraz zabytki sztuki pisarskiej. Pokazowi eksponatów z kolekcji towarzyszyć będzie możliwość wydrukowania pamiątkowej karty, przygotowanej specjalnie na Noc Muzeów.</w:t>
      </w:r>
    </w:p>
    <w:p w14:paraId="084E8725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14"/>
          <w:szCs w:val="20"/>
        </w:rPr>
      </w:pPr>
    </w:p>
    <w:p w14:paraId="553E8E08" w14:textId="3C93AC8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Barbakan</w:t>
      </w:r>
    </w:p>
    <w:p w14:paraId="5BDBB134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Nowomiejska 15/17</w:t>
      </w:r>
    </w:p>
    <w:p w14:paraId="67052CBC" w14:textId="47A35096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czynny w godz. 11.00–24.00</w:t>
      </w:r>
    </w:p>
    <w:p w14:paraId="4C921877" w14:textId="4E1A7BCB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Warszawski Barbakan, znajdujący się przy ulicy Nowomiejskiej, zwiedzić będzie można do 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północy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. Stanowi on część nieistniejącej już Bramy Nowomiejskiej, zabytek dawnej miejskiej architektury obronnej. Dzisiejsza forma jest współczesną rekonstrukcją, ale w swojej strukturze skrywa elementy budowli wzniesionej prawie 500 lat temu przez Jana Baptystę Wenecjanina. Ze zniszczeń wojennych odbudowano go razem ze Starym Miastem, a pracami nad jego odtworzeniem kierował prof. Jan Zachwatowicz. We wnętrzu Barbakanu można zobaczyć wystawę przedstawiającą historię miejskich fortyfikacji.</w:t>
      </w:r>
    </w:p>
    <w:p w14:paraId="1BC163DA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4"/>
          <w:szCs w:val="20"/>
        </w:rPr>
      </w:pPr>
    </w:p>
    <w:p w14:paraId="652054C5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proofErr w:type="spellStart"/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Korczakianum</w:t>
      </w:r>
      <w:proofErr w:type="spellEnd"/>
    </w:p>
    <w:p w14:paraId="2460FAB6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ul. Jaktorowska 6</w:t>
      </w:r>
    </w:p>
    <w:p w14:paraId="50664AB1" w14:textId="1A2FF9DF" w:rsid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20.00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="004F50EE"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–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spacer ulicami Warszawy śladami Janusza Korczaka</w:t>
      </w:r>
    </w:p>
    <w:p w14:paraId="0E285BB2" w14:textId="08C51956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Punktami trasy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spaceru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będą miejsca historyczne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związane z Januszem Korczakiem (Henryk </w:t>
      </w:r>
      <w:proofErr w:type="spellStart"/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Goldszmit</w:t>
      </w:r>
      <w:proofErr w:type="spellEnd"/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)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: siedzib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a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Domu Sierot, Szpital dla Dzieci im. </w:t>
      </w:r>
      <w:proofErr w:type="spellStart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Bersohnów</w:t>
      </w:r>
      <w:proofErr w:type="spellEnd"/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i Baumanów, Ubezpieczalnia Społeczna, Polskie Radio i Towarzystwo Kolonii Letnich. Opowiemy o historii tych miejsc i działalności Korczaka z</w:t>
      </w:r>
      <w:r w:rsidR="004F50EE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perspektywy ówczesnego warszawskiego, polskiego i żydowskiego dzieciństwa.</w:t>
      </w:r>
    </w:p>
    <w:p w14:paraId="3D52725D" w14:textId="77777777" w:rsidR="00347A20" w:rsidRPr="004F50EE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2"/>
          <w:szCs w:val="20"/>
        </w:rPr>
      </w:pPr>
    </w:p>
    <w:p w14:paraId="1EFA2431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– Miejsce Pamięci Palmiry</w:t>
      </w:r>
    </w:p>
    <w:p w14:paraId="7D4B2D6F" w14:textId="77777777" w:rsidR="00347A20" w:rsidRP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Palmiry, 05-152 Czosnów</w:t>
      </w:r>
    </w:p>
    <w:p w14:paraId="2BA3D34C" w14:textId="33BECCD7" w:rsidR="00347A20" w:rsidRPr="00347A20" w:rsidRDefault="003F43C9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czynne</w:t>
      </w:r>
      <w:r w:rsidR="00347A20"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w godzinach 10.00–20.00</w:t>
      </w:r>
    </w:p>
    <w:p w14:paraId="0539949B" w14:textId="5F6430DF" w:rsidR="00347A20" w:rsidRDefault="00347A20" w:rsidP="00347A20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Znajdujące się w sercu Kampinoskiego Parku Narodowego Muzeum jest miejscem pamięci narodowej, upamiętniającym ofiary masowych egzekucji przeprowadzonych przez Niemców w czasie II wojny światowej na terenie Puszczy Kampinoskiej. W Noc Muzeów o godzinach 12, 14, 16 i 18 kuratorki oprowadzą zwiedzających po ekspozycji stałej. Zwiedzanie zakończone będzie pokazami krótkich filmów dokumentalnych: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Rzeczpospolita Kampinoska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(reż. Maciej Piwowarczyk, 2010, czas trwania: 15</w:t>
      </w:r>
      <w:r w:rsidR="003F43C9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minut), filmu archiwalnego ze zwycięskim biegiem Janusza Kusocińskiego (czas trwania: 3 minuty) oraz </w:t>
      </w:r>
      <w:r w:rsidRPr="00347A20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Miasto Pamięci. Niemiecki terror w okupowanej Warszawie</w:t>
      </w:r>
      <w:r w:rsidRPr="00347A20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(reż. Rafał Bryll, 2019, czas trwania: 17 minut).</w:t>
      </w:r>
    </w:p>
    <w:p w14:paraId="6353C561" w14:textId="690BF735" w:rsidR="009F7BCC" w:rsidRDefault="009F7BCC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5B492460" w14:textId="77777777" w:rsidR="004F50EE" w:rsidRDefault="004F50EE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77BB566B" w14:textId="09B0B62A" w:rsidR="0009315D" w:rsidRPr="007B3D21" w:rsidRDefault="00902AD7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68EF4054" w14:textId="3B065E27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5C420CA5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  <w:r w:rsidR="00347A2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, 723 249 094</w:t>
      </w:r>
    </w:p>
    <w:p w14:paraId="707F2417" w14:textId="6DA81EE2" w:rsidR="00A80D1F" w:rsidRPr="007B3D21" w:rsidRDefault="008845FB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7" w:history="1">
        <w:r w:rsidR="0009315D" w:rsidRPr="007B3D21">
          <w:rPr>
            <w:rStyle w:val="Hipercze"/>
            <w:rFonts w:asciiTheme="majorHAnsi" w:hAnsiTheme="majorHAnsi" w:cstheme="majorHAnsi"/>
            <w:bCs/>
            <w:sz w:val="18"/>
            <w:szCs w:val="18"/>
          </w:rPr>
          <w:t>aleksandra.migacz@muzeumwarszawy.pl</w:t>
        </w:r>
      </w:hyperlink>
    </w:p>
    <w:sectPr w:rsidR="00A80D1F" w:rsidRPr="007B3D21" w:rsidSect="0094408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274" w:bottom="1276" w:left="1418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96CC" w14:textId="77777777" w:rsidR="008845FB" w:rsidRDefault="008845FB">
      <w:r>
        <w:separator/>
      </w:r>
    </w:p>
  </w:endnote>
  <w:endnote w:type="continuationSeparator" w:id="0">
    <w:p w14:paraId="53462EFA" w14:textId="77777777" w:rsidR="008845FB" w:rsidRDefault="008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 w:rsidRPr="00347A20">
      <w:rPr>
        <w:rFonts w:ascii="Calibri" w:eastAsia="Calibri" w:hAnsi="Calibri" w:cs="Calibri"/>
        <w:b/>
        <w:bCs/>
        <w:color w:val="4F81BD"/>
        <w:u w:color="4F81BD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14E2" w14:textId="77777777" w:rsidR="008845FB" w:rsidRDefault="008845FB">
      <w:r>
        <w:separator/>
      </w:r>
    </w:p>
  </w:footnote>
  <w:footnote w:type="continuationSeparator" w:id="0">
    <w:p w14:paraId="34BCCB6B" w14:textId="77777777" w:rsidR="008845FB" w:rsidRDefault="0088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16724"/>
    <w:rsid w:val="00020ED1"/>
    <w:rsid w:val="00040A3E"/>
    <w:rsid w:val="000535B2"/>
    <w:rsid w:val="00061028"/>
    <w:rsid w:val="00081AD1"/>
    <w:rsid w:val="0009186E"/>
    <w:rsid w:val="0009315D"/>
    <w:rsid w:val="000C4FCB"/>
    <w:rsid w:val="000F22B6"/>
    <w:rsid w:val="0012722A"/>
    <w:rsid w:val="001549B7"/>
    <w:rsid w:val="00161D75"/>
    <w:rsid w:val="00164D8F"/>
    <w:rsid w:val="001B3D2C"/>
    <w:rsid w:val="001F68FC"/>
    <w:rsid w:val="001F75B1"/>
    <w:rsid w:val="00216233"/>
    <w:rsid w:val="00236672"/>
    <w:rsid w:val="00247B11"/>
    <w:rsid w:val="00276A3A"/>
    <w:rsid w:val="00281AD9"/>
    <w:rsid w:val="002B3E79"/>
    <w:rsid w:val="002C77D6"/>
    <w:rsid w:val="002D7680"/>
    <w:rsid w:val="002E0784"/>
    <w:rsid w:val="00301056"/>
    <w:rsid w:val="0031079B"/>
    <w:rsid w:val="00334A63"/>
    <w:rsid w:val="0034257D"/>
    <w:rsid w:val="00347A20"/>
    <w:rsid w:val="00365A2A"/>
    <w:rsid w:val="00391D1C"/>
    <w:rsid w:val="003A5C3D"/>
    <w:rsid w:val="003F43C9"/>
    <w:rsid w:val="003F77C2"/>
    <w:rsid w:val="00415906"/>
    <w:rsid w:val="0042712F"/>
    <w:rsid w:val="00482201"/>
    <w:rsid w:val="00485A98"/>
    <w:rsid w:val="004D3CD2"/>
    <w:rsid w:val="004E2E2F"/>
    <w:rsid w:val="004E70B9"/>
    <w:rsid w:val="004F50EE"/>
    <w:rsid w:val="004F5DE2"/>
    <w:rsid w:val="00513EBA"/>
    <w:rsid w:val="00526D73"/>
    <w:rsid w:val="00542A95"/>
    <w:rsid w:val="00595E17"/>
    <w:rsid w:val="005A084C"/>
    <w:rsid w:val="005C6CA4"/>
    <w:rsid w:val="005F0120"/>
    <w:rsid w:val="006A7945"/>
    <w:rsid w:val="00704DAE"/>
    <w:rsid w:val="00704FE5"/>
    <w:rsid w:val="00713B7B"/>
    <w:rsid w:val="0075306F"/>
    <w:rsid w:val="0077421E"/>
    <w:rsid w:val="007A339D"/>
    <w:rsid w:val="007B077F"/>
    <w:rsid w:val="007B3D21"/>
    <w:rsid w:val="007B44CC"/>
    <w:rsid w:val="007C4D67"/>
    <w:rsid w:val="007C6435"/>
    <w:rsid w:val="00802556"/>
    <w:rsid w:val="00857478"/>
    <w:rsid w:val="008667A9"/>
    <w:rsid w:val="008845FB"/>
    <w:rsid w:val="008D3C60"/>
    <w:rsid w:val="008D7CA6"/>
    <w:rsid w:val="008F69A0"/>
    <w:rsid w:val="00902AD7"/>
    <w:rsid w:val="009128BC"/>
    <w:rsid w:val="009157CB"/>
    <w:rsid w:val="00944081"/>
    <w:rsid w:val="00945F12"/>
    <w:rsid w:val="00955279"/>
    <w:rsid w:val="009A413D"/>
    <w:rsid w:val="009A79D3"/>
    <w:rsid w:val="009C5E36"/>
    <w:rsid w:val="009F7BCC"/>
    <w:rsid w:val="00A23F6A"/>
    <w:rsid w:val="00A5725C"/>
    <w:rsid w:val="00A63AE5"/>
    <w:rsid w:val="00A66765"/>
    <w:rsid w:val="00A66A87"/>
    <w:rsid w:val="00A751C0"/>
    <w:rsid w:val="00A80D1F"/>
    <w:rsid w:val="00A830EF"/>
    <w:rsid w:val="00A91F1B"/>
    <w:rsid w:val="00A970A0"/>
    <w:rsid w:val="00AA0B6E"/>
    <w:rsid w:val="00AD0672"/>
    <w:rsid w:val="00AE1D7E"/>
    <w:rsid w:val="00B527C3"/>
    <w:rsid w:val="00B60433"/>
    <w:rsid w:val="00B618FF"/>
    <w:rsid w:val="00B87CF6"/>
    <w:rsid w:val="00B97932"/>
    <w:rsid w:val="00BB726D"/>
    <w:rsid w:val="00BC4706"/>
    <w:rsid w:val="00C158DA"/>
    <w:rsid w:val="00C2796E"/>
    <w:rsid w:val="00C4718E"/>
    <w:rsid w:val="00C629F1"/>
    <w:rsid w:val="00C85BD5"/>
    <w:rsid w:val="00C97EB5"/>
    <w:rsid w:val="00CC682E"/>
    <w:rsid w:val="00CD52DF"/>
    <w:rsid w:val="00CD5A28"/>
    <w:rsid w:val="00CF5D44"/>
    <w:rsid w:val="00CF7FCE"/>
    <w:rsid w:val="00D00145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A182C"/>
    <w:rsid w:val="00DB4E7C"/>
    <w:rsid w:val="00DC775C"/>
    <w:rsid w:val="00DE7B02"/>
    <w:rsid w:val="00DF098F"/>
    <w:rsid w:val="00E12BB4"/>
    <w:rsid w:val="00E14A58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ksandra.migacz@muzeumwarszawy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28</cp:revision>
  <cp:lastPrinted>2022-03-15T12:46:00Z</cp:lastPrinted>
  <dcterms:created xsi:type="dcterms:W3CDTF">2021-06-07T16:57:00Z</dcterms:created>
  <dcterms:modified xsi:type="dcterms:W3CDTF">2023-05-11T09:39:00Z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