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tabs>
          <w:tab w:val="center" w:pos="4536"/>
          <w:tab w:val="right" w:pos="9072"/>
        </w:tabs>
        <w:spacing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„Pałac” w Muzeum Warszawy. Interwencja artystyczna Diany Lelonek już od 9 grudnia.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536"/>
          <w:tab w:val="right" w:pos="9072"/>
        </w:tabs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center" w:pos="4536"/>
          <w:tab w:val="right" w:pos="9072"/>
        </w:tabs>
        <w:spacing w:line="360" w:lineRule="auto"/>
        <w:jc w:val="both"/>
        <w:rPr>
          <w:rFonts w:ascii="Arial" w:cs="Arial" w:eastAsia="Arial" w:hAnsi="Arial"/>
          <w:b w:val="0"/>
          <w:color w:val="1c1c1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1c1c1c"/>
          <w:sz w:val="20"/>
          <w:szCs w:val="20"/>
          <w:rtl w:val="0"/>
        </w:rPr>
        <w:t xml:space="preserve">Muzeum Warszawy, 9.12.2021-31.07.2022</w:t>
      </w:r>
    </w:p>
    <w:p w:rsidR="00000000" w:rsidDel="00000000" w:rsidP="00000000" w:rsidRDefault="00000000" w:rsidRPr="00000000" w14:paraId="00000004">
      <w:pPr>
        <w:pStyle w:val="Heading2"/>
        <w:tabs>
          <w:tab w:val="center" w:pos="4536"/>
          <w:tab w:val="right" w:pos="9072"/>
        </w:tabs>
        <w:spacing w:line="360" w:lineRule="auto"/>
        <w:jc w:val="both"/>
        <w:rPr>
          <w:rFonts w:ascii="Arial" w:cs="Arial" w:eastAsia="Arial" w:hAnsi="Arial"/>
          <w:b w:val="1"/>
          <w:color w:val="1c1c1c"/>
          <w:sz w:val="2"/>
          <w:szCs w:val="2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850890" cy="3060747"/>
            <wp:effectExtent b="0" l="0" r="0" t="0"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0607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center" w:pos="4536"/>
          <w:tab w:val="right" w:pos="9072"/>
        </w:tabs>
        <w:spacing w:line="360" w:lineRule="auto"/>
        <w:jc w:val="both"/>
        <w:rPr>
          <w:rFonts w:ascii="Arial" w:cs="Arial" w:eastAsia="Arial" w:hAnsi="Arial"/>
          <w:b w:val="1"/>
          <w:color w:val="1c1c1c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1c1c1c"/>
          <w:sz w:val="20"/>
          <w:szCs w:val="20"/>
          <w:rtl w:val="0"/>
        </w:rPr>
        <w:t xml:space="preserve">Muzeum Warszawy otworzyło drzwi magazynów przed Dianą Lelonek. Artystka zwróciła uwagę na zbiory archeologiczne z miejsca, w którym stał Pałac Saski. Efekty tych poszukiwań można zobaczyć w siedzibie głównej Muzeum na Rynku Starego Miasta od 9 grudnia. To inauguracja cyklu interwencji artystycznych, w ramach których muzealne kolekcje przedstawiane będą w nowych, zaskakujących kontekstach.</w:t>
      </w:r>
    </w:p>
    <w:p w:rsidR="00000000" w:rsidDel="00000000" w:rsidP="00000000" w:rsidRDefault="00000000" w:rsidRPr="00000000" w14:paraId="00000006">
      <w:pPr>
        <w:spacing w:before="120" w:line="360" w:lineRule="auto"/>
        <w:jc w:val="both"/>
        <w:rPr>
          <w:rFonts w:ascii="Arial" w:cs="Arial" w:eastAsia="Arial" w:hAnsi="Arial"/>
          <w:b w:val="0"/>
          <w:color w:val="1c1c1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1c1c1c"/>
          <w:sz w:val="20"/>
          <w:szCs w:val="20"/>
          <w:rtl w:val="0"/>
        </w:rPr>
        <w:t xml:space="preserve">Muzea pokazują publiczności niewielki ułamek swoich zbiorów. Szacuje się, że to od trzech do pięciu procent tego, co zgromadziły. Kolekcja Muzeum Warszawy to ponad 300 tys. obiektów, w większości ukrytych przed zwiedzającymi w magazynach. To do nich zaproszona została Diana Lelonek.</w:t>
      </w:r>
    </w:p>
    <w:p w:rsidR="00000000" w:rsidDel="00000000" w:rsidP="00000000" w:rsidRDefault="00000000" w:rsidRPr="00000000" w14:paraId="00000007">
      <w:pPr>
        <w:spacing w:before="120" w:line="360" w:lineRule="auto"/>
        <w:jc w:val="both"/>
        <w:rPr>
          <w:rFonts w:ascii="Arial" w:cs="Arial" w:eastAsia="Arial" w:hAnsi="Arial"/>
          <w:b w:val="0"/>
          <w:color w:val="1c1c1c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color w:val="1c1c1c"/>
          <w:sz w:val="20"/>
          <w:szCs w:val="20"/>
          <w:rtl w:val="0"/>
        </w:rPr>
        <w:t xml:space="preserve">Spojrzenie artystki przykuły kartony pełne potłuczonych naczyń, płytek podłogowych i stiuków, resztek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1c1c1c"/>
          <w:sz w:val="20"/>
          <w:szCs w:val="20"/>
          <w:rtl w:val="0"/>
        </w:rPr>
        <w:t xml:space="preserve">jedzenia, ości ryb i kości zwierząt. Choć nie wyglądają jak pałacowe skarby, to pozostałości życia toczącego się w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różnych okresach w miejscu, w którym stał Pałac Saski</w:t>
      </w:r>
      <w:r w:rsidDel="00000000" w:rsidR="00000000" w:rsidRPr="00000000">
        <w:rPr>
          <w:rFonts w:ascii="Arial" w:cs="Arial" w:eastAsia="Arial" w:hAnsi="Arial"/>
          <w:b w:val="0"/>
          <w:color w:val="1c1c1c"/>
          <w:sz w:val="20"/>
          <w:szCs w:val="20"/>
          <w:rtl w:val="0"/>
        </w:rPr>
        <w:t xml:space="preserve">. W 2006 i 2008 roku na tym terenie prowadzone były badania archeologiczne, w wyniku których wydobyto 29 tysięcy obiektów. Wszystkie one, oczyszczone i opisane, ponumerowane i spakowane w kartony, znajdują się pod opieką Muzeum Warszawy. Nie rządzi już nimi żadna hierarchia – kość kurczaka okazuje się tak samo ważna, jak fragment porcelany.</w:t>
      </w:r>
    </w:p>
    <w:p w:rsidR="00000000" w:rsidDel="00000000" w:rsidP="00000000" w:rsidRDefault="00000000" w:rsidRPr="00000000" w14:paraId="00000008">
      <w:pPr>
        <w:spacing w:before="120" w:line="360" w:lineRule="auto"/>
        <w:jc w:val="both"/>
        <w:rPr>
          <w:rFonts w:ascii="Arial" w:cs="Arial" w:eastAsia="Arial" w:hAnsi="Arial"/>
          <w:color w:val="1c1c1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1c1c1c"/>
          <w:sz w:val="20"/>
          <w:szCs w:val="20"/>
          <w:rtl w:val="0"/>
        </w:rPr>
        <w:t xml:space="preserve">Nad wystawą pracowałam w momencie, kiedy zapadały decyzje o wdrożeniu w życie wielkiego planu odbudowy Pałacu. Zainteresował mnie kontrast pomiędzy otaczającą Pałac narracją i narosłą wokół niego legendą</w:t>
      </w:r>
      <w:r w:rsidDel="00000000" w:rsidR="00000000" w:rsidRPr="00000000">
        <w:rPr>
          <w:rFonts w:ascii="Arial" w:cs="Arial" w:eastAsia="Arial" w:hAnsi="Arial"/>
          <w:i w:val="1"/>
          <w:color w:val="1c1c1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color w:val="1c1c1c"/>
          <w:sz w:val="20"/>
          <w:szCs w:val="20"/>
          <w:rtl w:val="0"/>
        </w:rPr>
        <w:t xml:space="preserve">a skromnością i zwyczajnością tych autentycznych pozostałości. Chciałam pokazać te przedmioty po prostu takimi, jakimi są w ich wspólnym, spokojnym trwaniu w archeologicznym magazynie</w:t>
      </w:r>
      <w:r w:rsidDel="00000000" w:rsidR="00000000" w:rsidRPr="00000000">
        <w:rPr>
          <w:rFonts w:ascii="Arial" w:cs="Arial" w:eastAsia="Arial" w:hAnsi="Arial"/>
          <w:b w:val="0"/>
          <w:color w:val="1c1c1c"/>
          <w:sz w:val="20"/>
          <w:szCs w:val="20"/>
          <w:rtl w:val="0"/>
        </w:rPr>
        <w:t xml:space="preserve"> – mówi Lelonek.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360" w:lineRule="auto"/>
        <w:jc w:val="both"/>
        <w:rPr>
          <w:rFonts w:ascii="Arial" w:cs="Arial" w:eastAsia="Arial" w:hAnsi="Arial"/>
          <w:b w:val="0"/>
          <w:color w:val="1c1c1c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0"/>
          <w:color w:val="1c1c1c"/>
          <w:sz w:val="20"/>
          <w:szCs w:val="20"/>
          <w:rtl w:val="0"/>
        </w:rPr>
        <w:t xml:space="preserve">Lelonek zainteresował status tych znalezisk, ich uroda i sposoby przechowywania. Artystka podeszła do nich z zaciekawieniem i szacunkiem – fotografując, filmując i przenosząc na wystawę część magazynowego wnętrza. W resztkach budynku dostrzegła stan przejściowy między przedmiotem użytkowym, wytworem człowieka a tworem geologicznym. Fascynacja materialnymi śladami i pozostałościami po ludzkiej działalności, które porzucone zaczynają swoje własne życie wpisuje się w praktykę artystyczną Lelonek.</w:t>
      </w:r>
    </w:p>
    <w:p w:rsidR="00000000" w:rsidDel="00000000" w:rsidP="00000000" w:rsidRDefault="00000000" w:rsidRPr="00000000" w14:paraId="0000000A">
      <w:pPr>
        <w:spacing w:before="120" w:line="360" w:lineRule="auto"/>
        <w:jc w:val="both"/>
        <w:rPr>
          <w:rFonts w:ascii="Arial" w:cs="Arial" w:eastAsia="Arial" w:hAnsi="Arial"/>
          <w:b w:val="1"/>
          <w:sz w:val="4"/>
          <w:szCs w:val="4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b w:val="0"/>
          <w:i w:val="1"/>
          <w:color w:val="1c1c1c"/>
          <w:sz w:val="20"/>
          <w:szCs w:val="20"/>
          <w:rtl w:val="0"/>
        </w:rPr>
        <w:t xml:space="preserve">Cykl Interwencji artystycznych to próba świeżego spojrzenia na zbiory Muzeum Warszawy – zarówno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te wystawiane, jak i leżące w magazynach. Chcemy, by stały się inspiracją dla artystek i artystów, a tym samym mogły być odczytywane na zupełnie nowe sposoby, istotne dla współczesnej Warszawy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mówi wicedyrektor Muzeum Warszawy i kurator wystawy Jarosław Trybuś. –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Pierwsze działanie Diany Lelonek zwraca </w:t>
      </w:r>
      <w:r w:rsidDel="00000000" w:rsidR="00000000" w:rsidRPr="00000000">
        <w:rPr>
          <w:rFonts w:ascii="Arial" w:cs="Arial" w:eastAsia="Arial" w:hAnsi="Arial"/>
          <w:b w:val="0"/>
          <w:i w:val="1"/>
          <w:color w:val="1c1c1c"/>
          <w:sz w:val="20"/>
          <w:szCs w:val="20"/>
          <w:rtl w:val="0"/>
        </w:rPr>
        <w:t xml:space="preserve">uwagę na historię przechowywanych w Muzeum rzeczy i warunki ich trwania jakie tworzy muzealna praktyka</w:t>
      </w:r>
      <w:r w:rsidDel="00000000" w:rsidR="00000000" w:rsidRPr="00000000">
        <w:rPr>
          <w:rFonts w:ascii="Arial" w:cs="Arial" w:eastAsia="Arial" w:hAnsi="Arial"/>
          <w:b w:val="0"/>
          <w:color w:val="1c1c1c"/>
          <w:sz w:val="20"/>
          <w:szCs w:val="20"/>
          <w:rtl w:val="0"/>
        </w:rPr>
        <w:t xml:space="preserve"> – dodaje.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="360" w:lineRule="auto"/>
        <w:jc w:val="both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Pałac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będzie można zobaczyć od 9 grudnia 2021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31 lipca 2022 roku na 1. piętrze wystawy stałej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Rzeczy warszawskie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w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siedzibie głównej Muzeum Warszawy na Rynku Starego Miasta 42.</w:t>
      </w:r>
    </w:p>
    <w:p w:rsidR="00000000" w:rsidDel="00000000" w:rsidP="00000000" w:rsidRDefault="00000000" w:rsidRPr="00000000" w14:paraId="0000000D">
      <w:pPr>
        <w:spacing w:before="120" w:line="360" w:lineRule="auto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Wystawa jest czynna we wtorek, środę, piątek i niedzielę w godzinach od 11:00 do 18:00, a w czwartek i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sobotę od 11:00 do 20:00.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Bilety: 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zł lub łączone z biletami na wystawę stałą i czasową, w czwartki wstęp bezpłatny.</w:t>
      </w:r>
    </w:p>
    <w:p w:rsidR="00000000" w:rsidDel="00000000" w:rsidP="00000000" w:rsidRDefault="00000000" w:rsidRPr="00000000" w14:paraId="0000000E">
      <w:pPr>
        <w:spacing w:before="12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 grudnia o godz. 18:00 i 18:45 po wystawie oprowadzi artystka Diana Lelonek. Wstęp wolny!</w:t>
      </w:r>
    </w:p>
    <w:p w:rsidR="00000000" w:rsidDel="00000000" w:rsidP="00000000" w:rsidRDefault="00000000" w:rsidRPr="00000000" w14:paraId="0000000F">
      <w:pPr>
        <w:spacing w:before="12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Kolejne wydarzenia towarzyszące wkrótce: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https://muzeumwarszawy.pl/wydarzenia/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0"/>
          <w:szCs w:val="20"/>
        </w:rPr>
        <w:sectPr>
          <w:headerReference r:id="rId9" w:type="default"/>
          <w:headerReference r:id="rId10" w:type="even"/>
          <w:footerReference r:id="rId11" w:type="default"/>
          <w:footerReference r:id="rId12" w:type="even"/>
          <w:pgSz w:h="16838" w:w="11906" w:orient="portrait"/>
          <w:pgMar w:bottom="1403.5039370078755" w:top="1275.5905511811022" w:left="1276" w:right="1416" w:header="709" w:footer="253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Więcej: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https://muzeumwarszawy.pl/dla-mediow/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360" w:lineRule="auto"/>
        <w:ind w:firstLine="708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fotografie, film, inscenizacja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Diana Lelonek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60" w:lineRule="auto"/>
        <w:ind w:firstLine="708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kurator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Jarosław Trybuś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360" w:lineRule="auto"/>
        <w:ind w:firstLine="708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koordynacja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Michał Tański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60" w:lineRule="auto"/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projekt plakatu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Anna Światłowska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708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specjalne podziękowania dla Działu Archeologii oraz pracowniczek i pracowników magazynów Muzeum Warszawy</w:t>
      </w:r>
    </w:p>
    <w:p w:rsidR="00000000" w:rsidDel="00000000" w:rsidP="00000000" w:rsidRDefault="00000000" w:rsidRPr="00000000" w14:paraId="00000018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360" w:lineRule="auto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Jeśli są Państwo zainteresowani oprowadzaniem po wystawie lub potrzebują dodatkowych materiałów, zapraszamy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before="60" w:line="276" w:lineRule="auto"/>
        <w:jc w:val="both"/>
        <w:rPr>
          <w:rFonts w:ascii="Arial" w:cs="Arial" w:eastAsia="Arial" w:hAnsi="Arial"/>
          <w:color w:val="7f7f7f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f7f7f"/>
          <w:sz w:val="18"/>
          <w:szCs w:val="18"/>
          <w:rtl w:val="0"/>
        </w:rPr>
        <w:t xml:space="preserve">Aleksandra Migacz</w:t>
      </w:r>
    </w:p>
    <w:p w:rsidR="00000000" w:rsidDel="00000000" w:rsidP="00000000" w:rsidRDefault="00000000" w:rsidRPr="00000000" w14:paraId="0000001D">
      <w:pPr>
        <w:spacing w:after="60" w:before="60" w:line="276" w:lineRule="auto"/>
        <w:jc w:val="both"/>
        <w:rPr>
          <w:rFonts w:ascii="Arial" w:cs="Arial" w:eastAsia="Arial" w:hAnsi="Arial"/>
          <w:color w:val="7f7f7f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f7f7f"/>
          <w:sz w:val="18"/>
          <w:szCs w:val="18"/>
          <w:rtl w:val="0"/>
        </w:rPr>
        <w:t xml:space="preserve">Muzeum Warszawy</w:t>
      </w:r>
    </w:p>
    <w:p w:rsidR="00000000" w:rsidDel="00000000" w:rsidP="00000000" w:rsidRDefault="00000000" w:rsidRPr="00000000" w14:paraId="0000001E">
      <w:pPr>
        <w:spacing w:after="60" w:before="60" w:line="276" w:lineRule="auto"/>
        <w:jc w:val="both"/>
        <w:rPr>
          <w:rFonts w:ascii="Arial" w:cs="Arial" w:eastAsia="Arial" w:hAnsi="Arial"/>
          <w:color w:val="7f7f7f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f7f7f"/>
          <w:sz w:val="18"/>
          <w:szCs w:val="18"/>
          <w:rtl w:val="0"/>
        </w:rPr>
        <w:t xml:space="preserve">+48 22 277 43 45, 668 77 62 72</w:t>
      </w:r>
    </w:p>
    <w:p w:rsidR="00000000" w:rsidDel="00000000" w:rsidP="00000000" w:rsidRDefault="00000000" w:rsidRPr="00000000" w14:paraId="0000001F">
      <w:pPr>
        <w:spacing w:after="60" w:before="60" w:line="276" w:lineRule="auto"/>
        <w:jc w:val="both"/>
        <w:rPr>
          <w:rFonts w:ascii="Arial" w:cs="Arial" w:eastAsia="Arial" w:hAnsi="Arial"/>
          <w:color w:val="7f7f7f"/>
          <w:sz w:val="18"/>
          <w:szCs w:val="18"/>
        </w:rPr>
      </w:pPr>
      <w:hyperlink r:id="rId14">
        <w:r w:rsidDel="00000000" w:rsidR="00000000" w:rsidRPr="00000000">
          <w:rPr>
            <w:rFonts w:ascii="Arial" w:cs="Arial" w:eastAsia="Arial" w:hAnsi="Arial"/>
            <w:b w:val="1"/>
            <w:color w:val="0000ff"/>
            <w:sz w:val="18"/>
            <w:szCs w:val="18"/>
            <w:u w:val="single"/>
            <w:rtl w:val="0"/>
          </w:rPr>
          <w:t xml:space="preserve">aleksandra.migacz@muzeumwarszawy.pl</w:t>
        </w:r>
      </w:hyperlink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276" w:top="1702" w:left="1440" w:right="1440" w:header="709" w:footer="41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00"/>
      </w:tabs>
      <w:spacing w:after="0" w:before="0" w:line="36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4572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00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Muzeum Warszawy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00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Rynek Starego Miasta 28-42, 00-272 Warszawa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0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tel. (+48) 22 635 16 25 / fax (+48) 22 831 94 91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0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www.muzeumwarszawy.pl / sekretariat@muzeumwarszawy.pl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f81bd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0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212090</wp:posOffset>
          </wp:positionV>
          <wp:extent cx="1143000" cy="397510"/>
          <wp:effectExtent b="0" l="0" r="0" t="0"/>
          <wp:wrapNone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0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center" w:pos="4536"/>
        <w:tab w:val="right" w:pos="9072"/>
      </w:tabs>
    </w:pPr>
    <w:rPr/>
  </w:style>
  <w:style w:type="paragraph" w:styleId="Heading3">
    <w:name w:val="heading 3"/>
    <w:basedOn w:val="Normal"/>
    <w:next w:val="Normal"/>
    <w:pPr>
      <w:tabs>
        <w:tab w:val="center" w:pos="4536"/>
        <w:tab w:val="right" w:pos="9072"/>
      </w:tabs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C158B"/>
    <w:rPr>
      <w:rFonts w:ascii="Cambria" w:cs="Cambria" w:eastAsia="Cambria" w:hAnsi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 w:val="1"/>
    <w:pPr>
      <w:outlineLvl w:val="1"/>
    </w:pPr>
  </w:style>
  <w:style w:type="paragraph" w:styleId="Nagwek3">
    <w:name w:val="heading 3"/>
    <w:basedOn w:val="Nagwek"/>
    <w:qFormat w:val="1"/>
    <w:pPr>
      <w:outlineLvl w:val="2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czeinternetowe" w:customStyle="1">
    <w:name w:val="Łącze internetowe"/>
    <w:rPr>
      <w:u w:val="single"/>
    </w:rPr>
  </w:style>
  <w:style w:type="character" w:styleId="cze" w:customStyle="1">
    <w:name w:val="Łącze"/>
    <w:qFormat w:val="1"/>
    <w:rPr>
      <w:color w:val="0000ff"/>
      <w:u w:color="0000ff" w:val="single"/>
    </w:rPr>
  </w:style>
  <w:style w:type="character" w:styleId="Hyperlink0" w:customStyle="1">
    <w:name w:val="Hyperlink.0"/>
    <w:basedOn w:val="cze"/>
    <w:qFormat w:val="1"/>
    <w:rPr>
      <w:rFonts w:ascii="Arial" w:cs="Arial" w:eastAsia="Arial" w:hAnsi="Arial"/>
      <w:color w:val="0000ff"/>
      <w:sz w:val="20"/>
      <w:szCs w:val="20"/>
      <w:u w:color="0000ff" w:val="single"/>
    </w:rPr>
  </w:style>
  <w:style w:type="character" w:styleId="Hyperlink1" w:customStyle="1">
    <w:name w:val="Hyperlink.1"/>
    <w:basedOn w:val="cze"/>
    <w:qFormat w:val="1"/>
    <w:rPr>
      <w:rFonts w:ascii="Arial" w:cs="Arial" w:eastAsia="Arial" w:hAnsi="Arial"/>
      <w:color w:val="0000ff"/>
      <w:sz w:val="18"/>
      <w:szCs w:val="18"/>
      <w:u w:color="0000ff" w:val="single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qFormat w:val="1"/>
    <w:rsid w:val="00122B54"/>
    <w:rPr>
      <w:rFonts w:ascii="Tahoma" w:cs="Tahoma" w:eastAsia="Cambria" w:hAnsi="Tahoma"/>
      <w:color w:val="000000"/>
      <w:sz w:val="16"/>
      <w:szCs w:val="16"/>
      <w:u w:color="000000" w:val="none"/>
    </w:rPr>
  </w:style>
  <w:style w:type="character" w:styleId="Pogrubienie">
    <w:name w:val="Strong"/>
    <w:basedOn w:val="Domylnaczcionkaakapitu"/>
    <w:uiPriority w:val="22"/>
    <w:qFormat w:val="1"/>
    <w:rsid w:val="00043A7D"/>
    <w:rPr>
      <w:b w:val="1"/>
      <w:bCs w:val="1"/>
    </w:rPr>
  </w:style>
  <w:style w:type="character" w:styleId="UyteHipercze">
    <w:name w:val="FollowedHyperlink"/>
    <w:basedOn w:val="Domylnaczcionkaakapitu"/>
    <w:uiPriority w:val="99"/>
    <w:semiHidden w:val="1"/>
    <w:unhideWhenUsed w:val="1"/>
    <w:qFormat w:val="1"/>
    <w:rsid w:val="00512360"/>
    <w:rPr>
      <w:color w:val="ff00ff" w:themeColor="followedHyperlink"/>
      <w:u w:val="single"/>
    </w:rPr>
  </w:style>
  <w:style w:type="character" w:styleId="ListLabel1" w:customStyle="1">
    <w:name w:val="ListLabel 1"/>
    <w:qFormat w:val="1"/>
    <w:rPr>
      <w:b w:val="0"/>
    </w:rPr>
  </w:style>
  <w:style w:type="character" w:styleId="ListLabel2" w:customStyle="1">
    <w:name w:val="ListLabel 2"/>
    <w:qFormat w:val="1"/>
    <w:rPr>
      <w:b w:val="0"/>
    </w:rPr>
  </w:style>
  <w:style w:type="character" w:styleId="ListLabel3" w:customStyle="1">
    <w:name w:val="ListLabel 3"/>
    <w:qFormat w:val="1"/>
    <w:rPr>
      <w:rFonts w:cs="Helvetica" w:eastAsia="Cambria"/>
    </w:rPr>
  </w:style>
  <w:style w:type="character" w:styleId="Odwiedzoneczeinternetowe" w:customStyle="1">
    <w:name w:val="Odwiedzone łącze internetowe"/>
    <w:rPr>
      <w:color w:val="800000"/>
      <w:u w:val="single"/>
    </w:rPr>
  </w:style>
  <w:style w:type="character" w:styleId="Mocnowyrniony" w:customStyle="1">
    <w:name w:val="Mocno wyróżniony"/>
    <w:qFormat w:val="1"/>
    <w:rPr>
      <w:b w:val="1"/>
      <w:bCs w:val="1"/>
    </w:rPr>
  </w:style>
  <w:style w:type="character" w:styleId="Wyrnienie" w:customStyle="1">
    <w:name w:val="Wyróżnienie"/>
    <w:qFormat w:val="1"/>
    <w:rPr>
      <w:i w:val="1"/>
      <w:iCs w:val="1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cs="Lucida Sans" w:hAnsi="Times New Roman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ascii="Times New Roman" w:cs="Lucida Sans" w:hAnsi="Times New Roman"/>
      <w:i w:val="1"/>
      <w:iCs w:val="1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ascii="Times New Roman" w:cs="Lucida Sans" w:hAnsi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 w:val="1"/>
    <w:pPr>
      <w:spacing w:after="100" w:before="100"/>
    </w:pPr>
    <w:rPr>
      <w:rFonts w:eastAsia="Times New Roman"/>
      <w:color w:val="000000"/>
      <w:sz w:val="24"/>
      <w:szCs w:val="24"/>
      <w:u w:color="000000"/>
    </w:rPr>
  </w:style>
  <w:style w:type="paragraph" w:styleId="Default" w:customStyle="1">
    <w:name w:val="Default"/>
    <w:uiPriority w:val="99"/>
    <w:qFormat w:val="1"/>
    <w:rPr>
      <w:rFonts w:ascii="Segoe UI" w:cs="Segoe UI" w:eastAsia="Segoe UI" w:hAnsi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qFormat w:val="1"/>
    <w:rsid w:val="00122B54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DD52F5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00000a"/>
      <w:sz w:val="22"/>
      <w:szCs w:val="22"/>
      <w:lang w:eastAsia="en-US"/>
    </w:rPr>
  </w:style>
  <w:style w:type="paragraph" w:styleId="DomylneA" w:customStyle="1">
    <w:name w:val="Domyślne A"/>
    <w:qFormat w:val="1"/>
    <w:pPr>
      <w:spacing w:after="200" w:line="276" w:lineRule="auto"/>
    </w:pPr>
    <w:rPr>
      <w:rFonts w:ascii="Helvetica Neue" w:cs="Arial Unicode MS" w:eastAsia="SimSun" w:hAnsi="Helvetica Neue"/>
      <w:color w:val="000000"/>
      <w:sz w:val="22"/>
      <w:szCs w:val="22"/>
      <w:u w:color="000000"/>
      <w:lang w:bidi="hi-IN" w:eastAsia="zh-CN"/>
    </w:rPr>
  </w:style>
  <w:style w:type="paragraph" w:styleId="Zawartoramki" w:customStyle="1">
    <w:name w:val="Zawartość ramki"/>
    <w:basedOn w:val="Normalny"/>
    <w:qFormat w:val="1"/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basedOn w:val="Domylnaczcionkaakapitu"/>
    <w:unhideWhenUsed w:val="1"/>
    <w:rsid w:val="00E722F6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E722F6"/>
    <w:rPr>
      <w:color w:val="605e5c"/>
      <w:shd w:color="auto" w:fill="e1dfdd" w:val="clear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47B11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47B11"/>
    <w:rPr>
      <w:rFonts w:ascii="Cambria" w:cs="Cambria" w:eastAsia="Cambria" w:hAnsi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47B1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47B11"/>
    <w:rPr>
      <w:rFonts w:ascii="Cambria" w:cs="Cambria" w:eastAsia="Cambria" w:hAnsi="Cambria"/>
      <w:b w:val="1"/>
      <w:bCs w:val="1"/>
      <w:color w:val="000000"/>
      <w:u w:color="000000"/>
    </w:rPr>
  </w:style>
  <w:style w:type="paragraph" w:styleId="Domylne" w:customStyle="1">
    <w:name w:val="Domyślne"/>
    <w:rsid w:val="007A339D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rFonts w:ascii="Helvetica Neue" w:cs="Arial Unicode MS" w:hAnsi="Helvetica Neue"/>
      <w:color w:val="000000"/>
      <w:sz w:val="22"/>
      <w:szCs w:val="22"/>
    </w:rPr>
  </w:style>
  <w:style w:type="paragraph" w:styleId="Poprawka">
    <w:name w:val="Revision"/>
    <w:hidden w:val="1"/>
    <w:uiPriority w:val="99"/>
    <w:semiHidden w:val="1"/>
    <w:rsid w:val="00106853"/>
    <w:rPr>
      <w:rFonts w:ascii="Cambria" w:cs="Cambria" w:eastAsia="Cambria" w:hAnsi="Cambria"/>
      <w:color w:val="000000"/>
      <w:sz w:val="24"/>
      <w:szCs w:val="24"/>
      <w:u w:color="000000"/>
    </w:rPr>
  </w:style>
  <w:style w:type="character" w:styleId="Nierozpoznanawzmianka2" w:customStyle="1">
    <w:name w:val="Nierozpoznana wzmianka2"/>
    <w:basedOn w:val="Domylnaczcionkaakapitu"/>
    <w:uiPriority w:val="99"/>
    <w:semiHidden w:val="1"/>
    <w:unhideWhenUsed w:val="1"/>
    <w:rsid w:val="00E86669"/>
    <w:rPr>
      <w:color w:val="605e5c"/>
      <w:shd w:color="auto" w:fill="e1dfdd" w:val="clear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48032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hyperlink" Target="https://muzeumwarszawy.pl/dla-mediow/" TargetMode="Externa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hyperlink" Target="mailto:aleksandra.migacz@muzeumwarszawy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muzeumwarszawy.pl/wydarzenia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1xQqyqlSlgEhYEF4SGmr4WJI3w==">AMUW2mVRwiiHFUvGdgjgDZXIbgz0hjpC49uvolZr+kuN8EE6HKbsG67+K6I0tMG6vkr8F3t7Sat4ujvPJ+2MYkarQYslfzcBw8wJDqHhLfg06jSU2RNqNc2e1am/0F96nS57R6Z7H1jSfqY5YANe9EFjZ62Or7il6Aywx3HXjBEsCOYUFuY64pxIgIe++wkLKTBFQcrTvOu3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2021-08-24T12:20:00Z</dcterms:created>
  <dc:creator>Dagmara Mazurek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