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86E73" w14:textId="77777777" w:rsidR="00703428" w:rsidRDefault="00703428" w:rsidP="00703428">
      <w:pPr>
        <w:spacing w:after="0" w:line="276" w:lineRule="auto"/>
        <w:jc w:val="both"/>
        <w:rPr>
          <w:rFonts w:ascii="Arial" w:hAnsi="Arial" w:cs="Arial"/>
          <w:b/>
          <w:sz w:val="32"/>
          <w:szCs w:val="32"/>
          <w:lang w:val="pl-PL"/>
        </w:rPr>
      </w:pPr>
      <w:r w:rsidRPr="00642C49">
        <w:rPr>
          <w:rFonts w:ascii="Arial" w:hAnsi="Arial" w:cs="Arial"/>
          <w:b/>
          <w:sz w:val="32"/>
          <w:szCs w:val="32"/>
          <w:lang w:val="pl-PL"/>
        </w:rPr>
        <w:t>1</w:t>
      </w:r>
      <w:r>
        <w:rPr>
          <w:rFonts w:ascii="Arial" w:hAnsi="Arial" w:cs="Arial"/>
          <w:b/>
          <w:sz w:val="32"/>
          <w:szCs w:val="32"/>
          <w:lang w:val="pl-PL"/>
        </w:rPr>
        <w:t>:</w:t>
      </w:r>
      <w:r w:rsidRPr="00642C49">
        <w:rPr>
          <w:rFonts w:ascii="Arial" w:hAnsi="Arial" w:cs="Arial"/>
          <w:b/>
          <w:sz w:val="32"/>
          <w:szCs w:val="32"/>
          <w:lang w:val="pl-PL"/>
        </w:rPr>
        <w:t xml:space="preserve"> W</w:t>
      </w:r>
      <w:r>
        <w:rPr>
          <w:rFonts w:ascii="Arial" w:hAnsi="Arial" w:cs="Arial"/>
          <w:b/>
          <w:sz w:val="32"/>
          <w:szCs w:val="32"/>
          <w:lang w:val="pl-PL"/>
        </w:rPr>
        <w:t>stęp</w:t>
      </w:r>
    </w:p>
    <w:p w14:paraId="27F22698" w14:textId="77777777" w:rsidR="00703428" w:rsidRPr="006F50E7" w:rsidRDefault="00703428" w:rsidP="00703428">
      <w:pPr>
        <w:spacing w:line="360" w:lineRule="auto"/>
        <w:rPr>
          <w:rFonts w:ascii="Arial" w:eastAsia="Calibri" w:hAnsi="Arial" w:cs="Arial"/>
          <w:sz w:val="24"/>
          <w:szCs w:val="24"/>
          <w:lang w:val="pl-PL"/>
          <w14:ligatures w14:val="none"/>
        </w:rPr>
      </w:pPr>
    </w:p>
    <w:p w14:paraId="0FBF4F97" w14:textId="77777777" w:rsidR="009B2856" w:rsidRPr="00BC135C" w:rsidRDefault="00703428" w:rsidP="00BC135C">
      <w:pPr>
        <w:spacing w:line="360" w:lineRule="auto"/>
        <w:rPr>
          <w:rFonts w:ascii="Arial" w:eastAsia="Calibri" w:hAnsi="Arial" w:cs="Arial"/>
          <w:sz w:val="24"/>
          <w:szCs w:val="24"/>
          <w:lang w:val="pl-PL"/>
          <w14:ligatures w14:val="none"/>
        </w:rPr>
      </w:pPr>
      <w:r w:rsidRPr="006F50E7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Wystawa „Julia </w:t>
      </w:r>
      <w:proofErr w:type="spellStart"/>
      <w:r w:rsidRPr="006F50E7">
        <w:rPr>
          <w:rFonts w:ascii="Arial" w:eastAsia="Calibri" w:hAnsi="Arial" w:cs="Arial"/>
          <w:sz w:val="24"/>
          <w:szCs w:val="24"/>
          <w:lang w:val="pl-PL"/>
          <w14:ligatures w14:val="none"/>
        </w:rPr>
        <w:t>Keilowa</w:t>
      </w:r>
      <w:proofErr w:type="spellEnd"/>
      <w:r w:rsidRPr="006F50E7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. Projektantka” w Muzeum Warszawy to ekspozycja, która przybliża postać wybitnej warszawskiej artystki. </w:t>
      </w:r>
      <w:proofErr w:type="spellStart"/>
      <w:r w:rsidRPr="006F50E7">
        <w:rPr>
          <w:rFonts w:ascii="Arial" w:eastAsia="Calibri" w:hAnsi="Arial" w:cs="Arial"/>
          <w:sz w:val="24"/>
          <w:szCs w:val="24"/>
          <w:lang w:val="pl-PL"/>
          <w14:ligatures w14:val="none"/>
        </w:rPr>
        <w:t>Keilowa</w:t>
      </w:r>
      <w:proofErr w:type="spellEnd"/>
      <w:r w:rsidRPr="006F50E7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była rzeźbiarką i metaloplastyczką, działała w Warszawie w latach 30. XX wieku. Współpracowała z warszawskimi fabrykami </w:t>
      </w:r>
      <w:proofErr w:type="spellStart"/>
      <w:r w:rsidRPr="006F50E7">
        <w:rPr>
          <w:rFonts w:ascii="Arial" w:eastAsia="Calibri" w:hAnsi="Arial" w:cs="Arial"/>
          <w:sz w:val="24"/>
          <w:szCs w:val="24"/>
          <w:lang w:val="pl-PL"/>
          <w14:ligatures w14:val="none"/>
        </w:rPr>
        <w:t>platerniczymi</w:t>
      </w:r>
      <w:proofErr w:type="spellEnd"/>
      <w:r w:rsidRPr="006F50E7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i tworzyła modne przedmioty utrzymane w stylu art </w:t>
      </w:r>
      <w:proofErr w:type="spellStart"/>
      <w:r w:rsidRPr="006F50E7">
        <w:rPr>
          <w:rFonts w:ascii="Arial" w:eastAsia="Calibri" w:hAnsi="Arial" w:cs="Arial"/>
          <w:sz w:val="24"/>
          <w:szCs w:val="24"/>
          <w:lang w:val="pl-PL"/>
          <w14:ligatures w14:val="none"/>
        </w:rPr>
        <w:t>déco</w:t>
      </w:r>
      <w:proofErr w:type="spellEnd"/>
      <w:r w:rsidRPr="006F50E7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. Dzisiaj jej twórczość zaliczana jest do arcydzieł polskiego wzornictwa. Na twórczość Julii </w:t>
      </w:r>
      <w:proofErr w:type="spellStart"/>
      <w:r w:rsidRPr="006F50E7">
        <w:rPr>
          <w:rFonts w:ascii="Arial" w:eastAsia="Calibri" w:hAnsi="Arial" w:cs="Arial"/>
          <w:sz w:val="24"/>
          <w:szCs w:val="24"/>
          <w:lang w:val="pl-PL"/>
          <w14:ligatures w14:val="none"/>
        </w:rPr>
        <w:t>Keilowej</w:t>
      </w:r>
      <w:proofErr w:type="spellEnd"/>
      <w:r w:rsidRPr="006F50E7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miały wpływ procesy, które wówczas zachodziły w życiu artystycznym, społecznym i gospodarczym. To był moment, kiedy kobiety mogły korzystać z dobrodziejstw emancypacji. To był też czas, kiedy nobilitowano zawód projektanta i wzornictwo stawało się coraz bardziej demokratyczne. Kariera Julii </w:t>
      </w:r>
      <w:proofErr w:type="spellStart"/>
      <w:r w:rsidRPr="006F50E7">
        <w:rPr>
          <w:rFonts w:ascii="Arial" w:eastAsia="Calibri" w:hAnsi="Arial" w:cs="Arial"/>
          <w:sz w:val="24"/>
          <w:szCs w:val="24"/>
          <w:lang w:val="pl-PL"/>
          <w14:ligatures w14:val="none"/>
        </w:rPr>
        <w:t>Keilowej</w:t>
      </w:r>
      <w:proofErr w:type="spellEnd"/>
      <w:r w:rsidRPr="006F50E7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przypomina nam nieco przebieg twórczości innych współczesnych jej europejskich projektantek. Na wystawie przywołałyśmy postaci dwóch pionierskich pokoleń twórczyń wzornictwa: Sonii </w:t>
      </w:r>
      <w:proofErr w:type="spellStart"/>
      <w:r w:rsidRPr="006F50E7">
        <w:rPr>
          <w:rFonts w:ascii="Arial" w:eastAsia="Calibri" w:hAnsi="Arial" w:cs="Arial"/>
          <w:sz w:val="24"/>
          <w:szCs w:val="24"/>
          <w:lang w:val="pl-PL"/>
          <w14:ligatures w14:val="none"/>
        </w:rPr>
        <w:t>Delaunay</w:t>
      </w:r>
      <w:proofErr w:type="spellEnd"/>
      <w:r w:rsidRPr="006F50E7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, </w:t>
      </w:r>
      <w:proofErr w:type="spellStart"/>
      <w:r w:rsidRPr="006F50E7">
        <w:rPr>
          <w:rFonts w:ascii="Arial" w:eastAsia="Calibri" w:hAnsi="Arial" w:cs="Arial"/>
          <w:sz w:val="24"/>
          <w:szCs w:val="24"/>
          <w:lang w:val="pl-PL"/>
          <w14:ligatures w14:val="none"/>
        </w:rPr>
        <w:t>Jutty</w:t>
      </w:r>
      <w:proofErr w:type="spellEnd"/>
      <w:r w:rsidRPr="006F50E7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Siki, </w:t>
      </w:r>
      <w:proofErr w:type="spellStart"/>
      <w:r w:rsidRPr="006F50E7">
        <w:rPr>
          <w:rFonts w:ascii="Arial" w:eastAsia="Calibri" w:hAnsi="Arial" w:cs="Arial"/>
          <w:sz w:val="24"/>
          <w:szCs w:val="24"/>
          <w:lang w:val="pl-PL"/>
          <w14:ligatures w14:val="none"/>
        </w:rPr>
        <w:t>Christy</w:t>
      </w:r>
      <w:proofErr w:type="spellEnd"/>
      <w:r w:rsidRPr="006F50E7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Ehrlich i Sylvii </w:t>
      </w:r>
      <w:proofErr w:type="spellStart"/>
      <w:r w:rsidRPr="006F50E7">
        <w:rPr>
          <w:rFonts w:ascii="Arial" w:eastAsia="Calibri" w:hAnsi="Arial" w:cs="Arial"/>
          <w:sz w:val="24"/>
          <w:szCs w:val="24"/>
          <w:lang w:val="pl-PL"/>
          <w14:ligatures w14:val="none"/>
        </w:rPr>
        <w:t>Stave</w:t>
      </w:r>
      <w:proofErr w:type="spellEnd"/>
      <w:r w:rsidRPr="006F50E7">
        <w:rPr>
          <w:rFonts w:ascii="Arial" w:eastAsia="Calibri" w:hAnsi="Arial" w:cs="Arial"/>
          <w:sz w:val="24"/>
          <w:szCs w:val="24"/>
          <w:lang w:val="pl-PL"/>
          <w14:ligatures w14:val="none"/>
        </w:rPr>
        <w:t>. Scenariusz artystycznych karier tych artystek wydaje się zbliżony. Wykształcenie, sukces, wojna, zapomnienie i przywracanie pamięci to losy, które pasują do opowieści o życiu wszystkich tych artystek.</w:t>
      </w:r>
      <w:bookmarkStart w:id="0" w:name="_GoBack"/>
      <w:bookmarkEnd w:id="0"/>
    </w:p>
    <w:sectPr w:rsidR="009B2856" w:rsidRPr="00BC1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428"/>
    <w:rsid w:val="00703428"/>
    <w:rsid w:val="009B2856"/>
    <w:rsid w:val="00BC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F15B4"/>
  <w15:chartTrackingRefBased/>
  <w15:docId w15:val="{6476AD28-26B6-4FF6-BC5A-4BD56166A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03428"/>
    <w:rPr>
      <w:kern w:val="2"/>
      <w:lang w:val="en-GB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Gniady</dc:creator>
  <cp:keywords/>
  <dc:description/>
  <cp:lastModifiedBy>Klaudia Gniady</cp:lastModifiedBy>
  <cp:revision>2</cp:revision>
  <cp:lastPrinted>2024-05-08T09:45:00Z</cp:lastPrinted>
  <dcterms:created xsi:type="dcterms:W3CDTF">2024-05-08T09:43:00Z</dcterms:created>
  <dcterms:modified xsi:type="dcterms:W3CDTF">2024-05-08T09:46:00Z</dcterms:modified>
</cp:coreProperties>
</file>