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C50AE" w14:textId="77777777" w:rsidR="00C40839" w:rsidRDefault="00C40839" w:rsidP="00C40839">
      <w:pPr>
        <w:spacing w:after="0" w:line="276" w:lineRule="auto"/>
        <w:jc w:val="both"/>
        <w:rPr>
          <w:rFonts w:ascii="Arial" w:hAnsi="Arial" w:cs="Arial"/>
          <w:b/>
          <w:sz w:val="32"/>
          <w:szCs w:val="32"/>
          <w:lang w:val="pl-PL"/>
        </w:rPr>
      </w:pPr>
      <w:r w:rsidRPr="006F50E7">
        <w:rPr>
          <w:rFonts w:ascii="Arial" w:hAnsi="Arial" w:cs="Arial"/>
          <w:b/>
          <w:sz w:val="32"/>
          <w:szCs w:val="32"/>
          <w:lang w:val="pl-PL"/>
        </w:rPr>
        <w:t>3</w:t>
      </w:r>
      <w:r>
        <w:rPr>
          <w:rFonts w:ascii="Arial" w:hAnsi="Arial" w:cs="Arial"/>
          <w:b/>
          <w:sz w:val="32"/>
          <w:szCs w:val="32"/>
          <w:lang w:val="pl-PL"/>
        </w:rPr>
        <w:t>:</w:t>
      </w:r>
      <w:r w:rsidRPr="006F50E7">
        <w:rPr>
          <w:rFonts w:ascii="Arial" w:hAnsi="Arial" w:cs="Arial"/>
          <w:b/>
          <w:sz w:val="32"/>
          <w:szCs w:val="32"/>
          <w:lang w:val="pl-PL"/>
        </w:rPr>
        <w:t xml:space="preserve"> </w:t>
      </w:r>
      <w:bookmarkStart w:id="0" w:name="_GoBack"/>
      <w:r w:rsidRPr="006F50E7">
        <w:rPr>
          <w:rFonts w:ascii="Arial" w:hAnsi="Arial" w:cs="Arial"/>
          <w:b/>
          <w:sz w:val="32"/>
          <w:szCs w:val="32"/>
          <w:lang w:val="pl-PL"/>
        </w:rPr>
        <w:t>Emancypacja</w:t>
      </w:r>
      <w:bookmarkEnd w:id="0"/>
    </w:p>
    <w:p w14:paraId="126FEF0B" w14:textId="77777777" w:rsidR="00C40839" w:rsidRPr="006F50E7" w:rsidRDefault="00C40839" w:rsidP="00C40839">
      <w:pPr>
        <w:spacing w:after="0" w:line="276" w:lineRule="auto"/>
        <w:jc w:val="both"/>
        <w:rPr>
          <w:rFonts w:ascii="Arial" w:hAnsi="Arial" w:cs="Arial"/>
          <w:b/>
          <w:sz w:val="32"/>
          <w:szCs w:val="32"/>
          <w:lang w:val="pl-PL"/>
        </w:rPr>
      </w:pPr>
    </w:p>
    <w:p w14:paraId="6B323C94" w14:textId="77777777" w:rsidR="00C40839" w:rsidRDefault="00C40839" w:rsidP="00C40839">
      <w:pPr>
        <w:spacing w:line="360" w:lineRule="auto"/>
        <w:rPr>
          <w:rFonts w:ascii="Arial" w:eastAsia="Calibri" w:hAnsi="Arial" w:cs="Arial"/>
          <w:sz w:val="24"/>
          <w:szCs w:val="24"/>
          <w:lang w:val="pl-PL"/>
          <w14:ligatures w14:val="none"/>
        </w:rPr>
      </w:pPr>
      <w:r w:rsidRPr="006F50E7">
        <w:rPr>
          <w:rFonts w:ascii="Arial" w:eastAsia="Calibri" w:hAnsi="Arial" w:cs="Arial"/>
          <w:sz w:val="24"/>
          <w:szCs w:val="24"/>
          <w:lang w:val="pl-PL"/>
          <w14:ligatures w14:val="none"/>
        </w:rPr>
        <w:t>W gablocie ściennej pokazujemy państwu trzy przedmioty: szminkę, tamborek, czyli akcesorium ułatwiające haft, i maszynę do pisania. To przedmioty, które mają nam zilustrować sytuację kobiet w pierwszych dekadach XX wieku. Szminka przypomina o przemianach obyczajowych i kulturowych, które wówczas zachodziły. To czas, kiedy kobiety zaczynają korzystać z dobrodziejstwem emancypacji, kiedy coraz częściej rozpoczynają studia, rozpoczynają pracę zawodową, kiedy zmienia się ich wygląd. Noszą krótsze, wygodniejsze sukienki, swobodnie korzystają z makijażu.</w:t>
      </w:r>
    </w:p>
    <w:p w14:paraId="014AF3D4" w14:textId="77777777" w:rsidR="00C40839" w:rsidRPr="006F50E7" w:rsidRDefault="00C40839" w:rsidP="00C40839">
      <w:pPr>
        <w:spacing w:line="360" w:lineRule="auto"/>
        <w:rPr>
          <w:rFonts w:ascii="Arial" w:eastAsia="Calibri" w:hAnsi="Arial" w:cs="Arial"/>
          <w:sz w:val="24"/>
          <w:szCs w:val="24"/>
          <w:lang w:val="pl-PL"/>
          <w14:ligatures w14:val="none"/>
        </w:rPr>
      </w:pPr>
    </w:p>
    <w:p w14:paraId="3378BB72" w14:textId="77777777" w:rsidR="00C40839" w:rsidRDefault="00C40839" w:rsidP="00C40839">
      <w:pPr>
        <w:spacing w:line="360" w:lineRule="auto"/>
        <w:rPr>
          <w:rFonts w:ascii="Arial" w:eastAsia="Calibri" w:hAnsi="Arial" w:cs="Arial"/>
          <w:sz w:val="24"/>
          <w:szCs w:val="24"/>
          <w:lang w:val="pl-PL"/>
          <w14:ligatures w14:val="none"/>
        </w:rPr>
      </w:pPr>
      <w:r w:rsidRPr="006F50E7">
        <w:rPr>
          <w:rFonts w:ascii="Arial" w:eastAsia="Calibri" w:hAnsi="Arial" w:cs="Arial"/>
          <w:sz w:val="24"/>
          <w:szCs w:val="24"/>
          <w:lang w:val="pl-PL"/>
          <w14:ligatures w14:val="none"/>
        </w:rPr>
        <w:t>Przedmiot drugi, czyli tamborek, to jest przedmiot związany z tradycyjną rolą kobiecą, czyli z troską o gospodarstwo domowe, zajmowanie się tkaninami czy ceramiką to były takie dziedziny tradycyjnie kobietom przypisywane. Pod koniec XIX wieku, w czasie, kiedy dbano o rozwój sztuk stosowanych, kiedy doceniano rzemiosło, były to też dziedziny, które ułatwiały kobietom zarabianie, utrzymywanie siebie i rodziny.</w:t>
      </w:r>
    </w:p>
    <w:p w14:paraId="39BBDD6E" w14:textId="77777777" w:rsidR="00C40839" w:rsidRPr="006F50E7" w:rsidRDefault="00C40839" w:rsidP="00C40839">
      <w:pPr>
        <w:spacing w:line="360" w:lineRule="auto"/>
        <w:rPr>
          <w:rFonts w:ascii="Arial" w:eastAsia="Calibri" w:hAnsi="Arial" w:cs="Arial"/>
          <w:sz w:val="24"/>
          <w:szCs w:val="24"/>
          <w:lang w:val="pl-PL"/>
          <w14:ligatures w14:val="none"/>
        </w:rPr>
      </w:pPr>
    </w:p>
    <w:p w14:paraId="65B1D33C" w14:textId="399DBA4C" w:rsidR="009B2856" w:rsidRPr="00C40839" w:rsidRDefault="00C40839" w:rsidP="00C40839">
      <w:pPr>
        <w:spacing w:line="360" w:lineRule="auto"/>
        <w:rPr>
          <w:rFonts w:ascii="Arial" w:eastAsia="Calibri" w:hAnsi="Arial" w:cs="Arial"/>
          <w:sz w:val="24"/>
          <w:szCs w:val="24"/>
          <w:lang w:val="pl-PL"/>
          <w14:ligatures w14:val="none"/>
        </w:rPr>
      </w:pPr>
      <w:r w:rsidRPr="006F50E7">
        <w:rPr>
          <w:rFonts w:ascii="Arial" w:eastAsia="Calibri" w:hAnsi="Arial" w:cs="Arial"/>
          <w:sz w:val="24"/>
          <w:szCs w:val="24"/>
          <w:lang w:val="pl-PL"/>
          <w14:ligatures w14:val="none"/>
        </w:rPr>
        <w:t>Ostatni przedmiot to maszyna do pisania, typ Erika, bardzo popularny w biurach w latach 30. i 40. XX wieku. Przypomina nam to o zjawisku szklanego sufitu, czyli o tym, że niezależnie od tego, że rosła liczba kobiet wykształconych i pracujących to wciąż stanowiły one mniejszość wśród kadry zarządzającej. I chociaż wiele kobiet osiągnęło spektakularne sukcesy w różnych dziedzinach: w biznesie, w nauce, w sporcie, czy w sztuce, to wciąż stanowiły one mniejszość i kiedy prasa je opisywała to odbywało się to w takim tonie, że jest to coś rzadkiego, niecodziennego albo wręcz osobliwego.</w:t>
      </w:r>
    </w:p>
    <w:sectPr w:rsidR="009B2856" w:rsidRPr="00C40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89"/>
    <w:rsid w:val="009B2856"/>
    <w:rsid w:val="00A21D89"/>
    <w:rsid w:val="00C4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3D71"/>
  <w15:chartTrackingRefBased/>
  <w15:docId w15:val="{49DD17F8-766C-417A-A338-EF5DB3C9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21D89"/>
    <w:rPr>
      <w:kern w:val="2"/>
      <w:lang w:val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Gniady</dc:creator>
  <cp:keywords/>
  <dc:description/>
  <cp:lastModifiedBy>Klaudia Gniady</cp:lastModifiedBy>
  <cp:revision>2</cp:revision>
  <cp:lastPrinted>2024-05-08T09:47:00Z</cp:lastPrinted>
  <dcterms:created xsi:type="dcterms:W3CDTF">2024-05-08T09:48:00Z</dcterms:created>
  <dcterms:modified xsi:type="dcterms:W3CDTF">2024-05-08T09:48:00Z</dcterms:modified>
</cp:coreProperties>
</file>