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AD4DC" w14:textId="77777777" w:rsidR="00583437" w:rsidRDefault="00583437" w:rsidP="00583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CC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Zapytanie ofertowe w sprawie zamówienia o szacowanej wartości poniżej </w:t>
      </w:r>
    </w:p>
    <w:p w14:paraId="3984CB59" w14:textId="77777777" w:rsidR="00583437" w:rsidRPr="00C03E10" w:rsidRDefault="00583437" w:rsidP="00583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CC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30000 euro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87"/>
      </w:tblGrid>
      <w:tr w:rsidR="00583437" w:rsidRPr="00027607" w14:paraId="505357AE" w14:textId="77777777" w:rsidTr="00D57871">
        <w:trPr>
          <w:trHeight w:val="231"/>
        </w:trPr>
        <w:tc>
          <w:tcPr>
            <w:tcW w:w="4111" w:type="dxa"/>
            <w:shd w:val="clear" w:color="auto" w:fill="CCFFFF"/>
          </w:tcPr>
          <w:p w14:paraId="3679DD7D" w14:textId="77777777" w:rsidR="00583437" w:rsidRPr="00086C01" w:rsidRDefault="00583437" w:rsidP="00B369B1">
            <w:pPr>
              <w:rPr>
                <w:b/>
              </w:rPr>
            </w:pPr>
            <w:r w:rsidRPr="00086C01">
              <w:rPr>
                <w:b/>
              </w:rPr>
              <w:t>2)Nazwa nadana zamówieniu:</w:t>
            </w:r>
          </w:p>
        </w:tc>
        <w:tc>
          <w:tcPr>
            <w:tcW w:w="5387" w:type="dxa"/>
            <w:shd w:val="clear" w:color="auto" w:fill="auto"/>
          </w:tcPr>
          <w:p w14:paraId="2CA8E4D2" w14:textId="2806CE80" w:rsidR="009D4FE9" w:rsidRDefault="00D57871" w:rsidP="00B369B1">
            <w:pPr>
              <w:jc w:val="both"/>
              <w:rPr>
                <w:b/>
              </w:rPr>
            </w:pPr>
            <w:r>
              <w:rPr>
                <w:b/>
              </w:rPr>
              <w:t>Dostaw</w:t>
            </w:r>
            <w:r w:rsidR="009D4FE9">
              <w:rPr>
                <w:b/>
              </w:rPr>
              <w:t>a</w:t>
            </w:r>
            <w:r w:rsidR="00115E04">
              <w:rPr>
                <w:b/>
              </w:rPr>
              <w:t xml:space="preserve"> i montaż</w:t>
            </w:r>
            <w:r w:rsidR="009D4FE9">
              <w:rPr>
                <w:b/>
              </w:rPr>
              <w:t xml:space="preserve"> monitora </w:t>
            </w:r>
            <w:r w:rsidR="00115E04">
              <w:rPr>
                <w:b/>
              </w:rPr>
              <w:t xml:space="preserve">interaktywnego </w:t>
            </w:r>
            <w:r w:rsidR="009D4FE9">
              <w:rPr>
                <w:b/>
              </w:rPr>
              <w:t xml:space="preserve">i statywu do </w:t>
            </w:r>
            <w:r w:rsidR="00115E04">
              <w:rPr>
                <w:b/>
              </w:rPr>
              <w:t xml:space="preserve">monitora interaktywnego </w:t>
            </w:r>
            <w:r w:rsidR="009D4FE9">
              <w:rPr>
                <w:b/>
              </w:rPr>
              <w:t xml:space="preserve">siedziby </w:t>
            </w:r>
          </w:p>
          <w:p w14:paraId="460F3439" w14:textId="665F199D" w:rsidR="00583437" w:rsidRPr="007918A3" w:rsidRDefault="009D4FE9" w:rsidP="00B369B1">
            <w:pPr>
              <w:jc w:val="both"/>
              <w:rPr>
                <w:b/>
              </w:rPr>
            </w:pPr>
            <w:r>
              <w:rPr>
                <w:b/>
              </w:rPr>
              <w:t xml:space="preserve">głównej </w:t>
            </w:r>
            <w:r w:rsidR="00EE3F53">
              <w:rPr>
                <w:b/>
              </w:rPr>
              <w:t>Muzeum Warszawy.</w:t>
            </w:r>
            <w:r w:rsidR="00B6303B">
              <w:rPr>
                <w:b/>
              </w:rPr>
              <w:t xml:space="preserve"> </w:t>
            </w:r>
          </w:p>
        </w:tc>
      </w:tr>
      <w:tr w:rsidR="00583437" w:rsidRPr="00027607" w14:paraId="0E055CFE" w14:textId="77777777" w:rsidTr="00D57871">
        <w:trPr>
          <w:trHeight w:val="278"/>
        </w:trPr>
        <w:tc>
          <w:tcPr>
            <w:tcW w:w="4111" w:type="dxa"/>
            <w:shd w:val="clear" w:color="auto" w:fill="CCFFFF"/>
          </w:tcPr>
          <w:p w14:paraId="28579A69" w14:textId="77777777" w:rsidR="00583437" w:rsidRPr="00086C01" w:rsidRDefault="00583437" w:rsidP="00B369B1">
            <w:pPr>
              <w:rPr>
                <w:b/>
              </w:rPr>
            </w:pPr>
            <w:r w:rsidRPr="00086C01">
              <w:rPr>
                <w:b/>
              </w:rPr>
              <w:t>3)Opis przedmiotu zamówienia:</w:t>
            </w:r>
          </w:p>
        </w:tc>
        <w:tc>
          <w:tcPr>
            <w:tcW w:w="5387" w:type="dxa"/>
            <w:shd w:val="clear" w:color="auto" w:fill="auto"/>
          </w:tcPr>
          <w:p w14:paraId="68ECCD88" w14:textId="6E6F3545" w:rsidR="00583437" w:rsidRDefault="00583437" w:rsidP="00B6303B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Przedmiotem zamówienia</w:t>
            </w:r>
            <w:r w:rsidRPr="006950A5">
              <w:rPr>
                <w:szCs w:val="20"/>
              </w:rPr>
              <w:t xml:space="preserve"> jest </w:t>
            </w:r>
            <w:r>
              <w:rPr>
                <w:szCs w:val="20"/>
              </w:rPr>
              <w:t xml:space="preserve">dostawa </w:t>
            </w:r>
            <w:r w:rsidR="00EE3F53">
              <w:rPr>
                <w:szCs w:val="20"/>
              </w:rPr>
              <w:t xml:space="preserve"> sprzę</w:t>
            </w:r>
            <w:r w:rsidR="00B6303B">
              <w:rPr>
                <w:szCs w:val="20"/>
              </w:rPr>
              <w:t>tu i wyposażenia</w:t>
            </w:r>
            <w:r w:rsidR="00D57871">
              <w:rPr>
                <w:szCs w:val="20"/>
              </w:rPr>
              <w:t>, określonych</w:t>
            </w:r>
            <w:r w:rsidR="006C1DD6">
              <w:rPr>
                <w:szCs w:val="20"/>
              </w:rPr>
              <w:t xml:space="preserve"> w załączniku nr 2</w:t>
            </w:r>
            <w:r>
              <w:rPr>
                <w:szCs w:val="20"/>
              </w:rPr>
              <w:t>.</w:t>
            </w:r>
            <w:r w:rsidR="00B6303B">
              <w:rPr>
                <w:szCs w:val="20"/>
              </w:rPr>
              <w:t xml:space="preserve"> </w:t>
            </w:r>
            <w:r>
              <w:rPr>
                <w:szCs w:val="20"/>
              </w:rPr>
              <w:t>Szczegółowy opis przedmiotu z</w:t>
            </w:r>
            <w:r w:rsidR="006C1DD6">
              <w:rPr>
                <w:szCs w:val="20"/>
              </w:rPr>
              <w:t>amówienia określa załącznik nr 2</w:t>
            </w:r>
            <w:r>
              <w:rPr>
                <w:szCs w:val="20"/>
              </w:rPr>
              <w:t xml:space="preserve"> do niniejszego zapytania.</w:t>
            </w:r>
          </w:p>
          <w:p w14:paraId="5F95B9CA" w14:textId="11D535BC" w:rsidR="00583437" w:rsidRPr="00602369" w:rsidRDefault="00583437" w:rsidP="00EE0FFB">
            <w:pPr>
              <w:autoSpaceDE w:val="0"/>
              <w:autoSpaceDN w:val="0"/>
              <w:adjustRightInd w:val="0"/>
              <w:ind w:left="60"/>
              <w:jc w:val="both"/>
              <w:rPr>
                <w:szCs w:val="20"/>
              </w:rPr>
            </w:pPr>
            <w:r>
              <w:rPr>
                <w:szCs w:val="20"/>
              </w:rPr>
              <w:t>Zamawiający nie dopuszcza składania ofert częściowych. Ofertę należy złożyć na cały zak</w:t>
            </w:r>
            <w:r w:rsidR="00B6303B">
              <w:rPr>
                <w:szCs w:val="20"/>
              </w:rPr>
              <w:t xml:space="preserve">res zamówienia. </w:t>
            </w:r>
            <w:r w:rsidR="00FC4910">
              <w:rPr>
                <w:szCs w:val="20"/>
              </w:rPr>
              <w:t>Wyliczone k</w:t>
            </w:r>
            <w:r w:rsidR="006C1DD6">
              <w:rPr>
                <w:szCs w:val="20"/>
              </w:rPr>
              <w:t>woty</w:t>
            </w:r>
            <w:r w:rsidR="00B6303B">
              <w:rPr>
                <w:szCs w:val="20"/>
              </w:rPr>
              <w:t xml:space="preserve"> netto i brutto oferty</w:t>
            </w:r>
            <w:r w:rsidR="00D9752F">
              <w:rPr>
                <w:szCs w:val="20"/>
              </w:rPr>
              <w:t xml:space="preserve"> należy</w:t>
            </w:r>
            <w:r w:rsidR="00FC4910">
              <w:rPr>
                <w:szCs w:val="20"/>
              </w:rPr>
              <w:t xml:space="preserve"> wpisać do fo</w:t>
            </w:r>
            <w:r w:rsidR="00B6303B">
              <w:rPr>
                <w:szCs w:val="20"/>
              </w:rPr>
              <w:t>rmularza ofertoweg</w:t>
            </w:r>
            <w:r w:rsidR="006C1DD6">
              <w:rPr>
                <w:szCs w:val="20"/>
              </w:rPr>
              <w:t>o stanowiącego załącznik numer 1</w:t>
            </w:r>
            <w:r w:rsidR="00B6303B">
              <w:rPr>
                <w:szCs w:val="20"/>
              </w:rPr>
              <w:t xml:space="preserve"> do zapytania ofertowego</w:t>
            </w:r>
            <w:r w:rsidR="00FC4910">
              <w:rPr>
                <w:szCs w:val="20"/>
              </w:rPr>
              <w:t>.</w:t>
            </w:r>
          </w:p>
        </w:tc>
      </w:tr>
      <w:tr w:rsidR="00583437" w:rsidRPr="00027607" w14:paraId="5EF01096" w14:textId="77777777" w:rsidTr="00D57871">
        <w:trPr>
          <w:trHeight w:val="277"/>
        </w:trPr>
        <w:tc>
          <w:tcPr>
            <w:tcW w:w="4111" w:type="dxa"/>
            <w:shd w:val="clear" w:color="auto" w:fill="CCFFFF"/>
          </w:tcPr>
          <w:p w14:paraId="7ECD313F" w14:textId="77777777" w:rsidR="00583437" w:rsidRPr="00086C01" w:rsidRDefault="00583437" w:rsidP="00B369B1">
            <w:pPr>
              <w:rPr>
                <w:b/>
              </w:rPr>
            </w:pPr>
            <w:r w:rsidRPr="00086C01">
              <w:rPr>
                <w:b/>
              </w:rPr>
              <w:t>4)Pożądany termin wykonania:</w:t>
            </w:r>
          </w:p>
        </w:tc>
        <w:tc>
          <w:tcPr>
            <w:tcW w:w="5387" w:type="dxa"/>
            <w:shd w:val="clear" w:color="auto" w:fill="auto"/>
          </w:tcPr>
          <w:p w14:paraId="20E727D6" w14:textId="2318B7A8" w:rsidR="00583437" w:rsidRPr="00027607" w:rsidRDefault="00B369B1" w:rsidP="00B369B1">
            <w:pPr>
              <w:autoSpaceDE w:val="0"/>
              <w:autoSpaceDN w:val="0"/>
              <w:adjustRightInd w:val="0"/>
            </w:pPr>
            <w:r>
              <w:t>Termin dostawy</w:t>
            </w:r>
            <w:r w:rsidR="00F24C68">
              <w:t xml:space="preserve"> : do 30</w:t>
            </w:r>
            <w:r w:rsidR="009D4FE9">
              <w:t>.09</w:t>
            </w:r>
            <w:r w:rsidR="00EE3F53">
              <w:t>.2018</w:t>
            </w:r>
            <w:r w:rsidR="00583437">
              <w:t>r.</w:t>
            </w:r>
          </w:p>
        </w:tc>
      </w:tr>
      <w:tr w:rsidR="00583437" w:rsidRPr="00027607" w14:paraId="6D2C319B" w14:textId="77777777" w:rsidTr="00B369B1">
        <w:trPr>
          <w:trHeight w:val="278"/>
        </w:trPr>
        <w:tc>
          <w:tcPr>
            <w:tcW w:w="9498" w:type="dxa"/>
            <w:gridSpan w:val="2"/>
            <w:shd w:val="clear" w:color="auto" w:fill="CCFFFF"/>
          </w:tcPr>
          <w:p w14:paraId="3AB92E26" w14:textId="77777777" w:rsidR="00583437" w:rsidRPr="00027607" w:rsidRDefault="00583437" w:rsidP="00B369B1">
            <w:pPr>
              <w:rPr>
                <w:b/>
              </w:rPr>
            </w:pPr>
            <w:r w:rsidRPr="00027607">
              <w:rPr>
                <w:b/>
                <w:sz w:val="22"/>
                <w:szCs w:val="22"/>
              </w:rPr>
              <w:t>5)Kryteria udziału:</w:t>
            </w:r>
          </w:p>
        </w:tc>
      </w:tr>
      <w:tr w:rsidR="00583437" w:rsidRPr="00027607" w14:paraId="2087606F" w14:textId="77777777" w:rsidTr="00D57871">
        <w:trPr>
          <w:trHeight w:val="334"/>
        </w:trPr>
        <w:tc>
          <w:tcPr>
            <w:tcW w:w="4111" w:type="dxa"/>
            <w:shd w:val="clear" w:color="auto" w:fill="CCFFFF"/>
          </w:tcPr>
          <w:p w14:paraId="5378044A" w14:textId="77777777" w:rsidR="00583437" w:rsidRPr="00602369" w:rsidRDefault="00583437" w:rsidP="00B369B1">
            <w:pPr>
              <w:rPr>
                <w:sz w:val="20"/>
                <w:szCs w:val="20"/>
              </w:rPr>
            </w:pPr>
            <w:r w:rsidRPr="00602369">
              <w:rPr>
                <w:sz w:val="20"/>
                <w:szCs w:val="20"/>
              </w:rPr>
              <w:t xml:space="preserve">     5.1)Wiedza i doświadczenie (referencje):</w:t>
            </w:r>
          </w:p>
        </w:tc>
        <w:tc>
          <w:tcPr>
            <w:tcW w:w="5387" w:type="dxa"/>
            <w:shd w:val="clear" w:color="auto" w:fill="auto"/>
          </w:tcPr>
          <w:p w14:paraId="3E4963D3" w14:textId="4477B963" w:rsidR="00583437" w:rsidRPr="00D9752F" w:rsidRDefault="00B369B1" w:rsidP="00D9752F">
            <w:pPr>
              <w:spacing w:before="100" w:beforeAutospacing="1" w:after="100" w:afterAutospacing="1"/>
              <w:ind w:left="567"/>
              <w:jc w:val="both"/>
              <w:rPr>
                <w:b/>
                <w:bCs/>
              </w:rPr>
            </w:pPr>
            <w:r>
              <w:t xml:space="preserve">Wykonawca musi wykazać że w ciągu ostatnich trzech lat przed upływem terminu składania ofert, a jeżeli okres prowadzenia działalności jest krótszy w tym okresie, wykonał a w przypadku świadczeń okresowych lub ciągłych również wykonuje, </w:t>
            </w:r>
            <w:r>
              <w:rPr>
                <w:b/>
                <w:bCs/>
              </w:rPr>
              <w:t>co najmniej dwa zamówienia polegaj</w:t>
            </w:r>
            <w:r w:rsidR="00F30FAE">
              <w:rPr>
                <w:b/>
                <w:bCs/>
              </w:rPr>
              <w:t>ące na dostawie monitorów interaktywnych i statywów do monitorów interaktywnych</w:t>
            </w:r>
            <w:bookmarkStart w:id="0" w:name="_GoBack"/>
            <w:bookmarkEnd w:id="0"/>
            <w:r w:rsidR="00837D0C">
              <w:rPr>
                <w:b/>
                <w:bCs/>
              </w:rPr>
              <w:t xml:space="preserve"> o wartości co najmniej 7</w:t>
            </w:r>
            <w:r>
              <w:rPr>
                <w:b/>
                <w:bCs/>
              </w:rPr>
              <w:t xml:space="preserve"> 000 złotych netto (cena nie zawierająca podatku VAT) każda z nich.</w:t>
            </w:r>
            <w:r w:rsidR="00D9752F">
              <w:t xml:space="preserve"> </w:t>
            </w:r>
            <w:r>
              <w:t>Przez wykonaną dostawę Zamawiający rozumie dostawę zrealizowaną w ramach danej umowy i odebraną przez Zamawiającego lub Odbiorcę jako należycie wykonaną. Zamawiający zastrzega sobie prawo do ewentualnego sprawdzenia prawdziwości przedstawionych danych wskazanych przez Wykonawcę w ofercie.</w:t>
            </w:r>
            <w:r w:rsidR="00D57871">
              <w:t xml:space="preserve"> Wykonawca obowiązany jest załączyć dowody potwierdzające, że dostawy zostały wykonane lub są wykonywane należycie.</w:t>
            </w:r>
            <w:r w:rsidR="00D9752F">
              <w:rPr>
                <w:b/>
                <w:bCs/>
              </w:rPr>
              <w:t xml:space="preserve"> </w:t>
            </w:r>
            <w:r w:rsidR="00D57871" w:rsidRPr="00D57871">
              <w:rPr>
                <w:iCs/>
              </w:rPr>
              <w:t xml:space="preserve">Dowodami są referencje bądź inne dokumenty wystawione przez  podmiot, na rzecz którego dostawy były wykonywane, a w przypadku świadczeń okresowych lub </w:t>
            </w:r>
            <w:r w:rsidR="00D57871" w:rsidRPr="00D57871">
              <w:rPr>
                <w:iCs/>
              </w:rPr>
              <w:lastRenderedPageBreak/>
              <w:t>ciągłych są wykonywane, a jeżeli z uzasadnionej przyczyny o obiektywnym charakterze Wykonawca nie jest w stanie uzyskać tych dokumentów – oświadczenie wykonawcy; w przypadku świadczeń okresowych lub ciągłych nadal wykonywanych referencje lub inne dokumenty potwierdzające ich należyte wykonywanie powinny być wydane nie wcześniej niż 3 miesiące przed upływem terminu składania ofert.</w:t>
            </w:r>
          </w:p>
        </w:tc>
      </w:tr>
      <w:tr w:rsidR="00583437" w:rsidRPr="00027607" w14:paraId="7DDBE04D" w14:textId="77777777" w:rsidTr="00D57871">
        <w:trPr>
          <w:trHeight w:val="332"/>
        </w:trPr>
        <w:tc>
          <w:tcPr>
            <w:tcW w:w="4111" w:type="dxa"/>
            <w:shd w:val="clear" w:color="auto" w:fill="CCFFFF"/>
          </w:tcPr>
          <w:p w14:paraId="048B4072" w14:textId="77777777" w:rsidR="00583437" w:rsidRPr="00602369" w:rsidRDefault="00583437" w:rsidP="00B3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5.2</w:t>
            </w:r>
            <w:r w:rsidRPr="00602369">
              <w:rPr>
                <w:sz w:val="20"/>
                <w:szCs w:val="20"/>
              </w:rPr>
              <w:t>)Odpowiedni potencjał techniczny:</w:t>
            </w:r>
          </w:p>
        </w:tc>
        <w:tc>
          <w:tcPr>
            <w:tcW w:w="5387" w:type="dxa"/>
          </w:tcPr>
          <w:p w14:paraId="6D33F8C7" w14:textId="7B3687D5" w:rsidR="00583437" w:rsidRPr="00602369" w:rsidRDefault="00B369B1" w:rsidP="00B369B1">
            <w:r>
              <w:rPr>
                <w:sz w:val="22"/>
                <w:szCs w:val="22"/>
              </w:rPr>
              <w:t>Nie dotyczy</w:t>
            </w:r>
          </w:p>
        </w:tc>
      </w:tr>
      <w:tr w:rsidR="00583437" w:rsidRPr="00027607" w14:paraId="3FBB092A" w14:textId="77777777" w:rsidTr="00D57871">
        <w:trPr>
          <w:trHeight w:val="515"/>
        </w:trPr>
        <w:tc>
          <w:tcPr>
            <w:tcW w:w="4111" w:type="dxa"/>
            <w:shd w:val="clear" w:color="auto" w:fill="CCFFFF"/>
          </w:tcPr>
          <w:p w14:paraId="7738ED78" w14:textId="77777777" w:rsidR="00583437" w:rsidRDefault="00583437" w:rsidP="00B3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86C0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3</w:t>
            </w:r>
            <w:r w:rsidRPr="00086C01">
              <w:rPr>
                <w:sz w:val="20"/>
                <w:szCs w:val="20"/>
              </w:rPr>
              <w:t>)D</w:t>
            </w:r>
            <w:r>
              <w:rPr>
                <w:sz w:val="20"/>
                <w:szCs w:val="20"/>
              </w:rPr>
              <w:t>ysponowanie osobami zdolnymi do</w:t>
            </w:r>
          </w:p>
          <w:p w14:paraId="5DFB0C67" w14:textId="77777777" w:rsidR="00583437" w:rsidRPr="00086C01" w:rsidRDefault="00583437" w:rsidP="00B369B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wy</w:t>
            </w:r>
            <w:r w:rsidRPr="00086C01">
              <w:rPr>
                <w:sz w:val="20"/>
                <w:szCs w:val="20"/>
              </w:rPr>
              <w:t>konania zamówienia:</w:t>
            </w:r>
          </w:p>
        </w:tc>
        <w:tc>
          <w:tcPr>
            <w:tcW w:w="5387" w:type="dxa"/>
          </w:tcPr>
          <w:p w14:paraId="0317B658" w14:textId="0D39D35E" w:rsidR="00583437" w:rsidRPr="00027607" w:rsidRDefault="00D9752F" w:rsidP="00B369B1">
            <w:r>
              <w:rPr>
                <w:sz w:val="22"/>
                <w:szCs w:val="22"/>
              </w:rPr>
              <w:t>Nie dotyczy</w:t>
            </w:r>
          </w:p>
        </w:tc>
      </w:tr>
      <w:tr w:rsidR="00583437" w:rsidRPr="00027607" w14:paraId="0E121003" w14:textId="77777777" w:rsidTr="00D57871">
        <w:trPr>
          <w:trHeight w:val="316"/>
        </w:trPr>
        <w:tc>
          <w:tcPr>
            <w:tcW w:w="4111" w:type="dxa"/>
            <w:shd w:val="clear" w:color="auto" w:fill="CCFFFF"/>
          </w:tcPr>
          <w:p w14:paraId="055B56C6" w14:textId="77777777" w:rsidR="00583437" w:rsidRDefault="00583437" w:rsidP="00B36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086C0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4) Sytuacja ekonomicznej i finansowania</w:t>
            </w:r>
          </w:p>
        </w:tc>
        <w:tc>
          <w:tcPr>
            <w:tcW w:w="5387" w:type="dxa"/>
          </w:tcPr>
          <w:p w14:paraId="1C1C8B20" w14:textId="77777777" w:rsidR="00583437" w:rsidRPr="00027607" w:rsidRDefault="00583437" w:rsidP="00B369B1">
            <w:r w:rsidRPr="00027607">
              <w:rPr>
                <w:sz w:val="22"/>
                <w:szCs w:val="22"/>
              </w:rPr>
              <w:t>nie dotyczy</w:t>
            </w:r>
          </w:p>
        </w:tc>
      </w:tr>
      <w:tr w:rsidR="00583437" w:rsidRPr="00027607" w14:paraId="66B86291" w14:textId="77777777" w:rsidTr="00D57871">
        <w:tc>
          <w:tcPr>
            <w:tcW w:w="4111" w:type="dxa"/>
            <w:shd w:val="clear" w:color="auto" w:fill="CCFFFF"/>
          </w:tcPr>
          <w:p w14:paraId="65FCFE35" w14:textId="77777777" w:rsidR="00583437" w:rsidRPr="00086C01" w:rsidRDefault="00583437" w:rsidP="00B369B1">
            <w:pPr>
              <w:rPr>
                <w:b/>
              </w:rPr>
            </w:pPr>
            <w:r w:rsidRPr="00086C01">
              <w:rPr>
                <w:b/>
              </w:rPr>
              <w:t xml:space="preserve">6)Miejsce i forma składania </w:t>
            </w:r>
            <w:r>
              <w:rPr>
                <w:b/>
              </w:rPr>
              <w:t>ofert</w:t>
            </w:r>
            <w:r w:rsidRPr="00086C01">
              <w:rPr>
                <w:b/>
              </w:rPr>
              <w:t>:</w:t>
            </w:r>
          </w:p>
        </w:tc>
        <w:tc>
          <w:tcPr>
            <w:tcW w:w="5387" w:type="dxa"/>
          </w:tcPr>
          <w:p w14:paraId="35B11D28" w14:textId="77777777" w:rsidR="00583437" w:rsidRPr="00027607" w:rsidRDefault="00583437" w:rsidP="00B369B1">
            <w:r w:rsidRPr="00027607">
              <w:rPr>
                <w:sz w:val="22"/>
                <w:szCs w:val="22"/>
              </w:rPr>
              <w:t xml:space="preserve">W siedzibie w godzinach pracy Muzeum </w:t>
            </w:r>
            <w:r>
              <w:rPr>
                <w:sz w:val="22"/>
                <w:szCs w:val="22"/>
              </w:rPr>
              <w:t xml:space="preserve">(poniedziałek – piątek, 8.00 – 16.00) </w:t>
            </w:r>
            <w:r w:rsidRPr="00027607">
              <w:rPr>
                <w:sz w:val="22"/>
                <w:szCs w:val="22"/>
              </w:rPr>
              <w:t xml:space="preserve">lub </w:t>
            </w:r>
            <w:r w:rsidRPr="00027607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003A63">
                <w:rPr>
                  <w:rStyle w:val="Hipercze"/>
                  <w:sz w:val="22"/>
                  <w:szCs w:val="22"/>
                  <w:lang w:val="en-US"/>
                </w:rPr>
                <w:t>janusz.kurczak@muzeumwarszawy.pl</w:t>
              </w:r>
            </w:hyperlink>
            <w:r>
              <w:rPr>
                <w:sz w:val="22"/>
                <w:szCs w:val="22"/>
                <w:lang w:val="en-US"/>
              </w:rPr>
              <w:t xml:space="preserve"> . </w:t>
            </w:r>
          </w:p>
        </w:tc>
      </w:tr>
      <w:tr w:rsidR="00583437" w:rsidRPr="00027607" w14:paraId="4DEB5DB3" w14:textId="77777777" w:rsidTr="00D57871">
        <w:trPr>
          <w:trHeight w:val="427"/>
        </w:trPr>
        <w:tc>
          <w:tcPr>
            <w:tcW w:w="4111" w:type="dxa"/>
            <w:shd w:val="clear" w:color="auto" w:fill="CCFFFF"/>
          </w:tcPr>
          <w:p w14:paraId="4AAA491D" w14:textId="77777777" w:rsidR="00583437" w:rsidRPr="00086C01" w:rsidRDefault="00583437" w:rsidP="00B369B1">
            <w:pPr>
              <w:rPr>
                <w:b/>
              </w:rPr>
            </w:pPr>
            <w:r w:rsidRPr="00086C01">
              <w:rPr>
                <w:b/>
              </w:rPr>
              <w:t xml:space="preserve">7)Termin składania </w:t>
            </w:r>
            <w:r>
              <w:rPr>
                <w:b/>
              </w:rPr>
              <w:t>ofert</w:t>
            </w:r>
            <w:r w:rsidRPr="00086C01">
              <w:rPr>
                <w:b/>
              </w:rPr>
              <w:t>:</w:t>
            </w:r>
          </w:p>
        </w:tc>
        <w:tc>
          <w:tcPr>
            <w:tcW w:w="5387" w:type="dxa"/>
          </w:tcPr>
          <w:p w14:paraId="01C3C1B8" w14:textId="72A76237" w:rsidR="00583437" w:rsidRPr="00027607" w:rsidRDefault="00F24C68" w:rsidP="00B369B1">
            <w:r>
              <w:rPr>
                <w:sz w:val="22"/>
                <w:szCs w:val="22"/>
              </w:rPr>
              <w:t>Do dnia 24</w:t>
            </w:r>
            <w:r w:rsidR="009D4FE9">
              <w:rPr>
                <w:sz w:val="22"/>
                <w:szCs w:val="22"/>
              </w:rPr>
              <w:t>.08</w:t>
            </w:r>
            <w:r w:rsidR="00EE3F53">
              <w:rPr>
                <w:sz w:val="22"/>
                <w:szCs w:val="22"/>
              </w:rPr>
              <w:t>.2018</w:t>
            </w:r>
            <w:r w:rsidR="009D4FE9">
              <w:rPr>
                <w:sz w:val="22"/>
                <w:szCs w:val="22"/>
              </w:rPr>
              <w:t xml:space="preserve"> r., do godziny 10</w:t>
            </w:r>
            <w:r w:rsidR="00583437" w:rsidRPr="00027607">
              <w:rPr>
                <w:sz w:val="22"/>
                <w:szCs w:val="22"/>
              </w:rPr>
              <w:t>:00</w:t>
            </w:r>
          </w:p>
        </w:tc>
      </w:tr>
      <w:tr w:rsidR="00583437" w:rsidRPr="00027607" w14:paraId="03084668" w14:textId="77777777" w:rsidTr="00D57871">
        <w:trPr>
          <w:trHeight w:val="621"/>
        </w:trPr>
        <w:tc>
          <w:tcPr>
            <w:tcW w:w="4111" w:type="dxa"/>
            <w:shd w:val="clear" w:color="auto" w:fill="CCFFFF"/>
          </w:tcPr>
          <w:p w14:paraId="59767C29" w14:textId="77777777" w:rsidR="00583437" w:rsidRPr="00086C01" w:rsidRDefault="00583437" w:rsidP="00B369B1">
            <w:pPr>
              <w:rPr>
                <w:b/>
              </w:rPr>
            </w:pPr>
            <w:r>
              <w:rPr>
                <w:b/>
              </w:rPr>
              <w:t>8)Kryterium oceny ofert</w:t>
            </w:r>
          </w:p>
        </w:tc>
        <w:tc>
          <w:tcPr>
            <w:tcW w:w="5387" w:type="dxa"/>
          </w:tcPr>
          <w:p w14:paraId="31862376" w14:textId="77777777" w:rsidR="00583437" w:rsidRPr="00435214" w:rsidRDefault="00583437" w:rsidP="00B369B1">
            <w:pPr>
              <w:rPr>
                <w:u w:val="single"/>
              </w:rPr>
            </w:pPr>
            <w:r w:rsidRPr="00435214">
              <w:rPr>
                <w:sz w:val="22"/>
                <w:szCs w:val="22"/>
                <w:u w:val="single"/>
              </w:rPr>
              <w:t>Kryterium oceny ofert:</w:t>
            </w:r>
          </w:p>
          <w:p w14:paraId="020B354C" w14:textId="77777777" w:rsidR="00583437" w:rsidRPr="00693C84" w:rsidRDefault="00583437" w:rsidP="00B369B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 C</w:t>
            </w:r>
            <w:r w:rsidRPr="007918A3">
              <w:rPr>
                <w:b/>
                <w:sz w:val="22"/>
                <w:szCs w:val="22"/>
              </w:rPr>
              <w:t xml:space="preserve">ena brutto </w:t>
            </w:r>
            <w:r>
              <w:rPr>
                <w:b/>
                <w:sz w:val="22"/>
                <w:szCs w:val="22"/>
              </w:rPr>
              <w:t>– 100%</w:t>
            </w:r>
          </w:p>
        </w:tc>
      </w:tr>
      <w:tr w:rsidR="00583437" w:rsidRPr="00027607" w14:paraId="3A095EA6" w14:textId="77777777" w:rsidTr="00D57871">
        <w:trPr>
          <w:trHeight w:val="523"/>
        </w:trPr>
        <w:tc>
          <w:tcPr>
            <w:tcW w:w="4111" w:type="dxa"/>
            <w:shd w:val="clear" w:color="auto" w:fill="CCFFFF"/>
          </w:tcPr>
          <w:p w14:paraId="6F81B42F" w14:textId="77777777" w:rsidR="00583437" w:rsidRPr="00086C01" w:rsidRDefault="00583437" w:rsidP="00B369B1">
            <w:pPr>
              <w:rPr>
                <w:b/>
              </w:rPr>
            </w:pPr>
            <w:r>
              <w:rPr>
                <w:b/>
              </w:rPr>
              <w:t>9</w:t>
            </w:r>
            <w:r w:rsidRPr="00086C01">
              <w:rPr>
                <w:b/>
              </w:rPr>
              <w:t>)Osoba do kontaktu ze strony zamawiającego:</w:t>
            </w:r>
          </w:p>
        </w:tc>
        <w:tc>
          <w:tcPr>
            <w:tcW w:w="5387" w:type="dxa"/>
          </w:tcPr>
          <w:p w14:paraId="6C168094" w14:textId="77777777" w:rsidR="008511C5" w:rsidRDefault="008511C5" w:rsidP="00B36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Janusz Kurczak</w:t>
            </w:r>
          </w:p>
          <w:p w14:paraId="057A25D0" w14:textId="46E009F6" w:rsidR="00583437" w:rsidRPr="008511C5" w:rsidRDefault="007179A6" w:rsidP="00B369B1">
            <w:pPr>
              <w:rPr>
                <w:sz w:val="22"/>
                <w:szCs w:val="22"/>
              </w:rPr>
            </w:pPr>
            <w:hyperlink r:id="rId9" w:history="1">
              <w:r w:rsidR="00F15075" w:rsidRPr="003930D3">
                <w:rPr>
                  <w:rStyle w:val="Hipercze"/>
                  <w:sz w:val="22"/>
                  <w:szCs w:val="22"/>
                </w:rPr>
                <w:t>janusz.kurczak@muzeumwarszawy.pl</w:t>
              </w:r>
            </w:hyperlink>
            <w:r w:rsidR="00F15075">
              <w:rPr>
                <w:sz w:val="22"/>
                <w:szCs w:val="22"/>
              </w:rPr>
              <w:t xml:space="preserve">; </w:t>
            </w:r>
            <w:r w:rsidR="00FC4910">
              <w:rPr>
                <w:sz w:val="22"/>
                <w:szCs w:val="22"/>
              </w:rPr>
              <w:t xml:space="preserve">tel. </w:t>
            </w:r>
            <w:r w:rsidR="00EE3F53">
              <w:rPr>
                <w:sz w:val="22"/>
                <w:szCs w:val="22"/>
              </w:rPr>
              <w:t xml:space="preserve">22 596 67 10 lub </w:t>
            </w:r>
            <w:r w:rsidR="00FC4910">
              <w:rPr>
                <w:sz w:val="22"/>
                <w:szCs w:val="22"/>
              </w:rPr>
              <w:t>605 649 464;</w:t>
            </w:r>
            <w:r w:rsidR="00B369B1">
              <w:rPr>
                <w:sz w:val="22"/>
                <w:szCs w:val="22"/>
              </w:rPr>
              <w:t xml:space="preserve"> </w:t>
            </w:r>
          </w:p>
        </w:tc>
      </w:tr>
      <w:tr w:rsidR="00583437" w14:paraId="05735D06" w14:textId="77777777" w:rsidTr="00B369B1">
        <w:trPr>
          <w:trHeight w:val="416"/>
        </w:trPr>
        <w:tc>
          <w:tcPr>
            <w:tcW w:w="9498" w:type="dxa"/>
            <w:gridSpan w:val="2"/>
            <w:shd w:val="clear" w:color="auto" w:fill="CCFFFF"/>
          </w:tcPr>
          <w:p w14:paraId="1480E817" w14:textId="6D322C7D" w:rsidR="00583437" w:rsidRPr="00133205" w:rsidRDefault="00583437" w:rsidP="00B369B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10)</w:t>
            </w:r>
            <w:r w:rsidRPr="00421036">
              <w:rPr>
                <w:b/>
                <w:i/>
              </w:rPr>
              <w:t xml:space="preserve">Muzeum Warszawy </w:t>
            </w:r>
            <w:r w:rsidRPr="00133205">
              <w:rPr>
                <w:b/>
                <w:i/>
              </w:rPr>
              <w:t xml:space="preserve">w przypadku zaakceptowania zakupu przez kierownika jednostki i zagwarantowania finansowania realizacji zamówienia, spośród prawidłowo  zgłoszonych kandydatur wybierze podmiot, któremu powierzy realizację zamówienia. </w:t>
            </w:r>
          </w:p>
          <w:p w14:paraId="30546F68" w14:textId="77777777" w:rsidR="00583437" w:rsidRPr="00133205" w:rsidRDefault="00583437" w:rsidP="00B369B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11)</w:t>
            </w:r>
            <w:r w:rsidRPr="00421036">
              <w:rPr>
                <w:b/>
                <w:i/>
              </w:rPr>
              <w:t xml:space="preserve">Muzeum Warszawy </w:t>
            </w:r>
            <w:r w:rsidRPr="00133205">
              <w:rPr>
                <w:b/>
                <w:i/>
              </w:rPr>
              <w:t xml:space="preserve">zastrzega sobie prawo kontaktu jedynie z wybranymi podmiotami. </w:t>
            </w:r>
          </w:p>
          <w:p w14:paraId="3242B356" w14:textId="77777777" w:rsidR="00583437" w:rsidRPr="00E96E03" w:rsidRDefault="00583437" w:rsidP="00B369B1">
            <w:pPr>
              <w:jc w:val="both"/>
              <w:rPr>
                <w:b/>
              </w:rPr>
            </w:pPr>
            <w:r>
              <w:rPr>
                <w:b/>
                <w:i/>
              </w:rPr>
              <w:t>12)</w:t>
            </w:r>
            <w:r w:rsidRPr="00133205">
              <w:rPr>
                <w:b/>
                <w:i/>
              </w:rPr>
              <w:t xml:space="preserve">Niniejsze ogłoszenie nie stanowi oferty w rozumieniu kodeksu cywilnego i nie może stanowić podstawy do wysuwania roszczeń względem </w:t>
            </w:r>
            <w:r w:rsidRPr="00421036">
              <w:rPr>
                <w:b/>
                <w:i/>
              </w:rPr>
              <w:t xml:space="preserve">Muzeum Warszawy </w:t>
            </w:r>
          </w:p>
          <w:p w14:paraId="43E6B9D1" w14:textId="77777777" w:rsidR="00583437" w:rsidRPr="00205E60" w:rsidRDefault="00583437" w:rsidP="00B369B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13)</w:t>
            </w:r>
            <w:r w:rsidRPr="00205E60">
              <w:rPr>
                <w:b/>
                <w:i/>
              </w:rPr>
              <w:t>Muzeum</w:t>
            </w:r>
            <w:r>
              <w:rPr>
                <w:b/>
                <w:i/>
              </w:rPr>
              <w:t xml:space="preserve"> nie ponosi kosztów sporządzenia oferty.</w:t>
            </w:r>
          </w:p>
        </w:tc>
      </w:tr>
    </w:tbl>
    <w:p w14:paraId="35C45758" w14:textId="77777777" w:rsidR="00583437" w:rsidRDefault="00583437" w:rsidP="00583437">
      <w:pPr>
        <w:rPr>
          <w:rFonts w:ascii="Arial" w:hAnsi="Arial" w:cs="Arial"/>
          <w:b/>
          <w:sz w:val="20"/>
          <w:szCs w:val="20"/>
          <w:u w:val="single"/>
        </w:rPr>
      </w:pPr>
    </w:p>
    <w:p w14:paraId="61AB954A" w14:textId="77777777" w:rsidR="00583437" w:rsidRDefault="00583437" w:rsidP="00583437">
      <w:pPr>
        <w:rPr>
          <w:rFonts w:ascii="Arial" w:hAnsi="Arial" w:cs="Arial"/>
          <w:b/>
          <w:sz w:val="20"/>
          <w:szCs w:val="20"/>
          <w:u w:val="single"/>
        </w:rPr>
      </w:pPr>
    </w:p>
    <w:p w14:paraId="210E7D96" w14:textId="77777777" w:rsidR="00B369B1" w:rsidRDefault="00B369B1" w:rsidP="00583437">
      <w:pPr>
        <w:rPr>
          <w:rFonts w:ascii="Arial" w:hAnsi="Arial" w:cs="Arial"/>
          <w:b/>
          <w:sz w:val="20"/>
          <w:szCs w:val="20"/>
          <w:u w:val="single"/>
        </w:rPr>
      </w:pPr>
    </w:p>
    <w:p w14:paraId="43F4B77D" w14:textId="77777777" w:rsidR="00B369B1" w:rsidRDefault="00B369B1" w:rsidP="00583437">
      <w:pPr>
        <w:rPr>
          <w:rFonts w:ascii="Arial" w:hAnsi="Arial" w:cs="Arial"/>
          <w:b/>
          <w:sz w:val="20"/>
          <w:szCs w:val="20"/>
          <w:u w:val="single"/>
        </w:rPr>
      </w:pPr>
    </w:p>
    <w:p w14:paraId="1E3001A4" w14:textId="77777777" w:rsidR="00B369B1" w:rsidRDefault="00B369B1" w:rsidP="00583437">
      <w:pPr>
        <w:rPr>
          <w:rFonts w:ascii="Arial" w:hAnsi="Arial" w:cs="Arial"/>
          <w:b/>
          <w:sz w:val="20"/>
          <w:szCs w:val="20"/>
          <w:u w:val="single"/>
        </w:rPr>
      </w:pPr>
    </w:p>
    <w:p w14:paraId="32BBB224" w14:textId="77777777" w:rsidR="00B369B1" w:rsidRDefault="00B369B1" w:rsidP="00583437">
      <w:pPr>
        <w:rPr>
          <w:rFonts w:ascii="Arial" w:hAnsi="Arial" w:cs="Arial"/>
          <w:b/>
          <w:sz w:val="20"/>
          <w:szCs w:val="20"/>
          <w:u w:val="single"/>
        </w:rPr>
      </w:pPr>
    </w:p>
    <w:p w14:paraId="65ADE671" w14:textId="77777777" w:rsidR="00B369B1" w:rsidRDefault="00B369B1" w:rsidP="00583437">
      <w:pPr>
        <w:rPr>
          <w:rFonts w:ascii="Arial" w:hAnsi="Arial" w:cs="Arial"/>
          <w:b/>
          <w:sz w:val="20"/>
          <w:szCs w:val="20"/>
          <w:u w:val="single"/>
        </w:rPr>
      </w:pPr>
    </w:p>
    <w:p w14:paraId="4CA803C5" w14:textId="77777777" w:rsidR="00EE3F53" w:rsidRDefault="00EE3F53" w:rsidP="00256343">
      <w:pPr>
        <w:rPr>
          <w:rFonts w:ascii="Arial" w:hAnsi="Arial" w:cs="Arial"/>
          <w:b/>
          <w:sz w:val="20"/>
          <w:szCs w:val="20"/>
          <w:u w:val="single"/>
        </w:rPr>
      </w:pPr>
    </w:p>
    <w:p w14:paraId="00174760" w14:textId="77777777" w:rsidR="009D4FE9" w:rsidRDefault="009D4FE9" w:rsidP="00256343">
      <w:pPr>
        <w:rPr>
          <w:rFonts w:ascii="Arial" w:hAnsi="Arial" w:cs="Arial"/>
          <w:b/>
          <w:sz w:val="20"/>
          <w:szCs w:val="20"/>
          <w:u w:val="single"/>
        </w:rPr>
      </w:pPr>
    </w:p>
    <w:p w14:paraId="27BB444C" w14:textId="77777777" w:rsidR="009D4FE9" w:rsidRDefault="009D4FE9" w:rsidP="00256343">
      <w:pPr>
        <w:rPr>
          <w:rFonts w:ascii="Arial" w:hAnsi="Arial" w:cs="Arial"/>
          <w:b/>
          <w:sz w:val="20"/>
          <w:szCs w:val="20"/>
          <w:u w:val="single"/>
        </w:rPr>
      </w:pPr>
    </w:p>
    <w:p w14:paraId="5637D7AC" w14:textId="77777777" w:rsidR="009D4FE9" w:rsidRDefault="009D4FE9" w:rsidP="00256343">
      <w:pPr>
        <w:rPr>
          <w:rFonts w:ascii="Arial" w:hAnsi="Arial" w:cs="Arial"/>
          <w:b/>
          <w:sz w:val="20"/>
          <w:szCs w:val="20"/>
          <w:u w:val="single"/>
        </w:rPr>
      </w:pPr>
    </w:p>
    <w:p w14:paraId="3759C6F0" w14:textId="77777777" w:rsidR="009D4FE9" w:rsidRDefault="009D4FE9" w:rsidP="00256343">
      <w:pPr>
        <w:rPr>
          <w:rFonts w:ascii="Arial" w:hAnsi="Arial" w:cs="Arial"/>
          <w:b/>
          <w:sz w:val="20"/>
          <w:szCs w:val="20"/>
          <w:u w:val="single"/>
        </w:rPr>
      </w:pPr>
    </w:p>
    <w:p w14:paraId="0A31BCC8" w14:textId="77777777" w:rsidR="009D4FE9" w:rsidRDefault="009D4FE9" w:rsidP="00256343">
      <w:pPr>
        <w:rPr>
          <w:rFonts w:ascii="Arial" w:hAnsi="Arial" w:cs="Arial"/>
          <w:b/>
          <w:sz w:val="20"/>
          <w:szCs w:val="20"/>
          <w:u w:val="single"/>
        </w:rPr>
      </w:pPr>
    </w:p>
    <w:p w14:paraId="31240519" w14:textId="77777777" w:rsidR="009D4FE9" w:rsidRDefault="009D4FE9" w:rsidP="00256343">
      <w:pPr>
        <w:rPr>
          <w:rFonts w:ascii="Arial" w:hAnsi="Arial" w:cs="Arial"/>
          <w:b/>
          <w:sz w:val="20"/>
          <w:szCs w:val="20"/>
          <w:u w:val="single"/>
        </w:rPr>
      </w:pPr>
    </w:p>
    <w:p w14:paraId="4DE44BA6" w14:textId="77777777" w:rsidR="009D4FE9" w:rsidRDefault="009D4FE9" w:rsidP="00256343">
      <w:pPr>
        <w:rPr>
          <w:rFonts w:ascii="Arial" w:hAnsi="Arial" w:cs="Arial"/>
          <w:b/>
          <w:sz w:val="20"/>
          <w:szCs w:val="20"/>
          <w:u w:val="single"/>
        </w:rPr>
      </w:pPr>
    </w:p>
    <w:p w14:paraId="4E4675DD" w14:textId="4370D9D7" w:rsidR="00256343" w:rsidRDefault="00D9752F" w:rsidP="0025634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numer 1</w:t>
      </w:r>
      <w:r w:rsidR="00256343">
        <w:rPr>
          <w:rFonts w:ascii="Arial" w:hAnsi="Arial" w:cs="Arial"/>
          <w:b/>
          <w:sz w:val="20"/>
          <w:szCs w:val="20"/>
          <w:u w:val="single"/>
        </w:rPr>
        <w:t>. Formularz ofertowy.</w:t>
      </w:r>
    </w:p>
    <w:p w14:paraId="00249035" w14:textId="77777777" w:rsidR="00256343" w:rsidRDefault="00256343" w:rsidP="00256343">
      <w:pPr>
        <w:jc w:val="both"/>
        <w:rPr>
          <w:rFonts w:ascii="Arial" w:hAnsi="Arial" w:cs="Arial"/>
          <w:sz w:val="20"/>
          <w:szCs w:val="20"/>
        </w:rPr>
      </w:pPr>
    </w:p>
    <w:p w14:paraId="15BCEA78" w14:textId="77777777" w:rsidR="00256343" w:rsidRDefault="00256343" w:rsidP="002563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Zamawiający</w:t>
      </w:r>
      <w:r>
        <w:rPr>
          <w:rFonts w:ascii="Arial" w:hAnsi="Arial" w:cs="Arial"/>
          <w:sz w:val="20"/>
          <w:szCs w:val="20"/>
        </w:rPr>
        <w:t>:                                                                                                          ( miejscowość, data )</w:t>
      </w:r>
    </w:p>
    <w:p w14:paraId="0B7BAD54" w14:textId="77777777" w:rsidR="00256343" w:rsidRDefault="00256343" w:rsidP="0025634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Muzeum Warszawy </w:t>
      </w:r>
    </w:p>
    <w:p w14:paraId="22B5260C" w14:textId="77777777" w:rsidR="00256343" w:rsidRDefault="00256343" w:rsidP="0025634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Rynek Starego Miasta 28-42,</w:t>
      </w:r>
    </w:p>
    <w:p w14:paraId="1A815EAE" w14:textId="77777777" w:rsidR="00256343" w:rsidRDefault="00256343" w:rsidP="002563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00-272 Warszawa</w:t>
      </w:r>
    </w:p>
    <w:p w14:paraId="7019E75D" w14:textId="77777777" w:rsidR="00256343" w:rsidRDefault="00256343" w:rsidP="002563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i adres zgłaszającego</w:t>
      </w:r>
    </w:p>
    <w:p w14:paraId="2CCDD6CB" w14:textId="77777777" w:rsidR="00256343" w:rsidRDefault="00256343" w:rsidP="00256343">
      <w:pPr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Nr telefonu, e-mail: …………………………</w:t>
      </w:r>
    </w:p>
    <w:p w14:paraId="6FB5F4E6" w14:textId="77777777" w:rsidR="00256343" w:rsidRDefault="00256343" w:rsidP="002563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……………………………..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Osoba do kontaktu: …………………</w:t>
      </w:r>
    </w:p>
    <w:p w14:paraId="3280FC83" w14:textId="77777777" w:rsidR="00256343" w:rsidRDefault="00256343" w:rsidP="00256343">
      <w:pPr>
        <w:keepNext/>
        <w:ind w:firstLine="708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(pieczątka)</w:t>
      </w:r>
    </w:p>
    <w:p w14:paraId="1964093B" w14:textId="77777777" w:rsidR="00256343" w:rsidRDefault="00256343" w:rsidP="00256343">
      <w:pPr>
        <w:keepNext/>
        <w:ind w:left="2832" w:firstLine="708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FORMULARZ  OFERTOWY</w:t>
      </w:r>
    </w:p>
    <w:p w14:paraId="2DC2D588" w14:textId="60A1BE5C" w:rsidR="00256343" w:rsidRDefault="009D4FE9" w:rsidP="0025634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Oferujemy wykonanie dostawy monitora i statywu</w:t>
      </w:r>
      <w:r w:rsidR="00256343">
        <w:rPr>
          <w:rFonts w:ascii="Arial" w:hAnsi="Arial" w:cs="Arial"/>
          <w:sz w:val="20"/>
          <w:szCs w:val="20"/>
        </w:rPr>
        <w:t xml:space="preserve">, </w:t>
      </w:r>
    </w:p>
    <w:p w14:paraId="2686859E" w14:textId="77777777" w:rsidR="00256343" w:rsidRDefault="00256343" w:rsidP="0025634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 z opisem przedmiotu zamówienia i na warunkach zawartych  w  zapytaniu ofertowym za </w:t>
      </w:r>
    </w:p>
    <w:p w14:paraId="11C0D59E" w14:textId="77777777" w:rsidR="00256343" w:rsidRDefault="00256343" w:rsidP="0025634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wynagrodzeniem:</w:t>
      </w:r>
    </w:p>
    <w:p w14:paraId="46C8C206" w14:textId="77777777" w:rsidR="00D84962" w:rsidRDefault="00256343" w:rsidP="00256343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............................................zł </w:t>
      </w:r>
      <w:r>
        <w:rPr>
          <w:rFonts w:ascii="Arial" w:hAnsi="Arial" w:cs="Arial"/>
          <w:b/>
          <w:sz w:val="20"/>
          <w:szCs w:val="20"/>
        </w:rPr>
        <w:t xml:space="preserve">brutto  </w:t>
      </w:r>
      <w:r>
        <w:rPr>
          <w:rFonts w:ascii="Arial" w:hAnsi="Arial" w:cs="Arial"/>
          <w:sz w:val="20"/>
          <w:szCs w:val="20"/>
        </w:rPr>
        <w:t xml:space="preserve">(słownie brutto: ............................................................. . </w:t>
      </w:r>
      <w:r>
        <w:rPr>
          <w:rFonts w:ascii="Arial" w:hAnsi="Arial" w:cs="Arial"/>
          <w:b/>
          <w:sz w:val="20"/>
          <w:szCs w:val="20"/>
        </w:rPr>
        <w:t>Podana kwota uwzględnia wartość całego przedmiotu zamówienia.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CFD25C" w14:textId="3C53D758" w:rsidR="00256343" w:rsidRDefault="00256343" w:rsidP="00256343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Ponadto: </w:t>
      </w:r>
      <w:r>
        <w:rPr>
          <w:rFonts w:ascii="Arial" w:hAnsi="Arial" w:cs="Arial"/>
          <w:sz w:val="20"/>
          <w:szCs w:val="20"/>
        </w:rPr>
        <w:t xml:space="preserve">Oświadczamy, że reprezentowana przez nas firma zrealizowała w ciągu ostatnich 3  lat (przed upływem terminu składania ofert </w:t>
      </w:r>
      <w:r w:rsidR="009D4FE9">
        <w:rPr>
          <w:rFonts w:ascii="Arial" w:hAnsi="Arial" w:cs="Arial"/>
          <w:sz w:val="20"/>
          <w:szCs w:val="20"/>
        </w:rPr>
        <w:t xml:space="preserve">wstępnych) następujące </w:t>
      </w:r>
      <w:r>
        <w:rPr>
          <w:rFonts w:ascii="Arial" w:hAnsi="Arial" w:cs="Arial"/>
          <w:sz w:val="20"/>
          <w:szCs w:val="20"/>
        </w:rPr>
        <w:t xml:space="preserve">usługi związane z tematem objętym zapytaniem ofertowym: 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498"/>
        <w:gridCol w:w="2219"/>
        <w:gridCol w:w="2226"/>
        <w:gridCol w:w="2379"/>
      </w:tblGrid>
      <w:tr w:rsidR="00256343" w14:paraId="5C8B01C0" w14:textId="77777777" w:rsidTr="00256343">
        <w:trPr>
          <w:trHeight w:val="41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E399" w14:textId="77777777" w:rsidR="00256343" w:rsidRDefault="002563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L.p.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25B1" w14:textId="77777777" w:rsidR="00256343" w:rsidRDefault="002563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F196" w14:textId="77777777" w:rsidR="00256343" w:rsidRDefault="002563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Odbiorca  </w:t>
            </w:r>
          </w:p>
          <w:p w14:paraId="7C2BCBC0" w14:textId="77777777" w:rsidR="00256343" w:rsidRDefault="002563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nazwa, adres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70CC" w14:textId="77777777" w:rsidR="00256343" w:rsidRDefault="002563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1940" w14:textId="77777777" w:rsidR="00256343" w:rsidRDefault="002563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wykonywania </w:t>
            </w:r>
          </w:p>
          <w:p w14:paraId="0A4D8F9C" w14:textId="77777777" w:rsidR="00256343" w:rsidRDefault="002563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(dz-m-rok)</w:t>
            </w:r>
          </w:p>
        </w:tc>
      </w:tr>
      <w:tr w:rsidR="00256343" w14:paraId="13ACFB27" w14:textId="77777777" w:rsidTr="0025634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17C9" w14:textId="77777777" w:rsidR="00256343" w:rsidRDefault="00256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6F95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015580BF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DC27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4862A9EC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9B4E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…….…………….zł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A745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</w:tr>
      <w:tr w:rsidR="00256343" w14:paraId="7313A8D6" w14:textId="77777777" w:rsidTr="00256343">
        <w:trPr>
          <w:trHeight w:val="8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CF06" w14:textId="77777777" w:rsidR="00256343" w:rsidRDefault="00256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FA70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43E16BD6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BFB8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30B1BA8E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A2B8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……..…………….zł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2B1C" w14:textId="77777777" w:rsidR="00256343" w:rsidRDefault="00256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</w:tr>
    </w:tbl>
    <w:p w14:paraId="000DDE86" w14:textId="77777777" w:rsidR="00D84962" w:rsidRDefault="00D84962" w:rsidP="00256343">
      <w:pPr>
        <w:tabs>
          <w:tab w:val="left" w:pos="540"/>
        </w:tabs>
        <w:rPr>
          <w:rFonts w:ascii="Arial" w:hAnsi="Arial" w:cs="Arial"/>
          <w:color w:val="000000"/>
          <w:sz w:val="20"/>
          <w:szCs w:val="20"/>
        </w:rPr>
      </w:pPr>
    </w:p>
    <w:p w14:paraId="0EB84C27" w14:textId="303B40B5" w:rsidR="00D84962" w:rsidRPr="00DF7061" w:rsidRDefault="00256343" w:rsidP="00DF7061">
      <w:pPr>
        <w:tabs>
          <w:tab w:val="left" w:pos="54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Części składowe ceny ofertowej:</w:t>
      </w:r>
      <w:r w:rsidR="00D84962">
        <w:rPr>
          <w:rFonts w:ascii="Arial" w:hAnsi="Arial" w:cs="Arial"/>
          <w:b/>
          <w:sz w:val="22"/>
        </w:rPr>
        <w:tab/>
      </w:r>
      <w:r w:rsidR="00D84962">
        <w:rPr>
          <w:rFonts w:ascii="Arial" w:hAnsi="Arial" w:cs="Arial"/>
          <w:b/>
          <w:sz w:val="22"/>
        </w:rPr>
        <w:tab/>
      </w:r>
      <w:r w:rsidR="00D84962">
        <w:rPr>
          <w:rFonts w:ascii="Arial" w:hAnsi="Arial" w:cs="Arial"/>
          <w:b/>
          <w:sz w:val="22"/>
        </w:rPr>
        <w:tab/>
      </w:r>
      <w:r w:rsidR="00D84962">
        <w:rPr>
          <w:rFonts w:ascii="Arial" w:hAnsi="Arial" w:cs="Arial"/>
          <w:b/>
          <w:sz w:val="22"/>
        </w:rPr>
        <w:tab/>
      </w:r>
      <w:r w:rsidR="00D84962">
        <w:rPr>
          <w:rFonts w:ascii="Arial" w:hAnsi="Arial" w:cs="Arial"/>
          <w:b/>
          <w:sz w:val="22"/>
        </w:rPr>
        <w:tab/>
      </w:r>
      <w:r w:rsidR="00D84962">
        <w:rPr>
          <w:rFonts w:ascii="Arial" w:hAnsi="Arial" w:cs="Arial"/>
          <w:b/>
          <w:sz w:val="22"/>
        </w:rPr>
        <w:tab/>
      </w:r>
      <w:r w:rsidR="00D84962">
        <w:rPr>
          <w:rFonts w:ascii="Arial" w:hAnsi="Arial" w:cs="Arial"/>
          <w:b/>
          <w:sz w:val="22"/>
        </w:rPr>
        <w:tab/>
      </w:r>
      <w:r w:rsidR="00D84962">
        <w:rPr>
          <w:rFonts w:ascii="Arial" w:hAnsi="Arial" w:cs="Arial"/>
          <w:b/>
          <w:sz w:val="22"/>
        </w:rPr>
        <w:tab/>
      </w:r>
    </w:p>
    <w:p w14:paraId="4F4E3B0D" w14:textId="77777777" w:rsidR="00D84962" w:rsidRPr="00BC2EEA" w:rsidRDefault="00D84962" w:rsidP="00D84962">
      <w:pPr>
        <w:tabs>
          <w:tab w:val="left" w:pos="3000"/>
        </w:tabs>
        <w:rPr>
          <w:rFonts w:ascii="Arial" w:eastAsia="Calibri" w:hAnsi="Arial" w:cs="Arial"/>
          <w:sz w:val="20"/>
          <w:szCs w:val="20"/>
          <w:lang w:eastAsia="en-US"/>
        </w:rPr>
      </w:pPr>
      <w:r w:rsidRPr="00BC2EEA">
        <w:rPr>
          <w:rFonts w:ascii="Arial" w:eastAsia="Calibri" w:hAnsi="Arial" w:cs="Arial"/>
          <w:sz w:val="20"/>
          <w:szCs w:val="20"/>
          <w:lang w:eastAsia="en-US"/>
        </w:rPr>
        <w:tab/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5812"/>
        <w:gridCol w:w="992"/>
        <w:gridCol w:w="2268"/>
      </w:tblGrid>
      <w:tr w:rsidR="00D02C01" w14:paraId="28FE68D5" w14:textId="77777777" w:rsidTr="00180FED">
        <w:tc>
          <w:tcPr>
            <w:tcW w:w="1135" w:type="dxa"/>
          </w:tcPr>
          <w:p w14:paraId="073C351F" w14:textId="77777777" w:rsidR="00D02C01" w:rsidRPr="00240884" w:rsidRDefault="00D02C01" w:rsidP="00FF68A5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4088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Poz. w załączniku</w:t>
            </w:r>
          </w:p>
        </w:tc>
        <w:tc>
          <w:tcPr>
            <w:tcW w:w="5812" w:type="dxa"/>
          </w:tcPr>
          <w:p w14:paraId="2BCEA01C" w14:textId="77777777" w:rsidR="00D02C01" w:rsidRPr="00240884" w:rsidRDefault="00D02C01" w:rsidP="00FF68A5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4088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Nazwa produktu</w:t>
            </w:r>
          </w:p>
        </w:tc>
        <w:tc>
          <w:tcPr>
            <w:tcW w:w="992" w:type="dxa"/>
          </w:tcPr>
          <w:p w14:paraId="446F8587" w14:textId="77777777" w:rsidR="00D02C01" w:rsidRPr="00240884" w:rsidRDefault="00D02C01" w:rsidP="00FF68A5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4088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Ilość szt.</w:t>
            </w:r>
          </w:p>
        </w:tc>
        <w:tc>
          <w:tcPr>
            <w:tcW w:w="2268" w:type="dxa"/>
          </w:tcPr>
          <w:p w14:paraId="29F14C07" w14:textId="24B6A140" w:rsidR="00D02C01" w:rsidRPr="00240884" w:rsidRDefault="00D02C01" w:rsidP="00FF68A5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4088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Wartość brutto zł</w:t>
            </w:r>
          </w:p>
        </w:tc>
      </w:tr>
      <w:tr w:rsidR="00D02C01" w14:paraId="32715B00" w14:textId="77777777" w:rsidTr="00180FED">
        <w:tc>
          <w:tcPr>
            <w:tcW w:w="1135" w:type="dxa"/>
          </w:tcPr>
          <w:p w14:paraId="43088760" w14:textId="77777777" w:rsidR="00D02C01" w:rsidRPr="00240884" w:rsidRDefault="00D02C01" w:rsidP="00FF68A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12" w:type="dxa"/>
          </w:tcPr>
          <w:p w14:paraId="393E391B" w14:textId="75E91697" w:rsidR="00D02C01" w:rsidRPr="00240884" w:rsidRDefault="009D4FE9" w:rsidP="00FF68A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Monitor</w:t>
            </w:r>
          </w:p>
        </w:tc>
        <w:tc>
          <w:tcPr>
            <w:tcW w:w="992" w:type="dxa"/>
          </w:tcPr>
          <w:p w14:paraId="491F82A2" w14:textId="52BCA47D" w:rsidR="00D02C01" w:rsidRPr="00240884" w:rsidRDefault="009D4FE9" w:rsidP="00FF68A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</w:tcPr>
          <w:p w14:paraId="282BC6AB" w14:textId="0B677AC0" w:rsidR="00D02C01" w:rsidRPr="00240884" w:rsidRDefault="00D02C01" w:rsidP="00FF68A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D02C01" w14:paraId="3D19D501" w14:textId="77777777" w:rsidTr="00180FED">
        <w:tc>
          <w:tcPr>
            <w:tcW w:w="1135" w:type="dxa"/>
          </w:tcPr>
          <w:p w14:paraId="41BCD06A" w14:textId="77777777" w:rsidR="00D02C01" w:rsidRPr="00240884" w:rsidRDefault="00D02C01" w:rsidP="00FF68A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12" w:type="dxa"/>
          </w:tcPr>
          <w:p w14:paraId="03943BF1" w14:textId="40EBFF3C" w:rsidR="00D02C01" w:rsidRPr="00240884" w:rsidRDefault="009D4FE9" w:rsidP="00FF68A5">
            <w:pPr>
              <w:tabs>
                <w:tab w:val="right" w:pos="2750"/>
              </w:tabs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Statyw</w:t>
            </w:r>
          </w:p>
        </w:tc>
        <w:tc>
          <w:tcPr>
            <w:tcW w:w="992" w:type="dxa"/>
          </w:tcPr>
          <w:p w14:paraId="0ACAA4F0" w14:textId="26C0230D" w:rsidR="00D02C01" w:rsidRPr="00240884" w:rsidRDefault="009D4FE9" w:rsidP="00FF68A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</w:tcPr>
          <w:p w14:paraId="23BDA2C3" w14:textId="016196C1" w:rsidR="00D02C01" w:rsidRPr="00240884" w:rsidRDefault="00D02C01" w:rsidP="00FF68A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6AD15D07" w14:textId="77777777" w:rsidR="00D84962" w:rsidRDefault="00D84962" w:rsidP="009D4FE9">
      <w:pPr>
        <w:tabs>
          <w:tab w:val="left" w:pos="540"/>
        </w:tabs>
        <w:jc w:val="right"/>
        <w:rPr>
          <w:rFonts w:ascii="Arial" w:hAnsi="Arial" w:cs="Arial"/>
          <w:sz w:val="20"/>
          <w:szCs w:val="20"/>
        </w:rPr>
      </w:pPr>
    </w:p>
    <w:p w14:paraId="37B5FF02" w14:textId="77777777" w:rsidR="00256343" w:rsidRDefault="00256343" w:rsidP="0025634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Oświadczamy, że spełniamy warunki udziału w postępowaniu o udzielenie zamówienia publicznego.</w:t>
      </w:r>
    </w:p>
    <w:p w14:paraId="5C04BAF4" w14:textId="77777777" w:rsidR="00256343" w:rsidRDefault="00256343" w:rsidP="0025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 posiadania uprawnień do wykonywania określonej działalności lub czynności związanej z przedmiotem zamówienia oświadczam, że ………………………………………………………………………………………………………………………</w:t>
      </w:r>
    </w:p>
    <w:p w14:paraId="3C850A91" w14:textId="77777777" w:rsidR="00256343" w:rsidRDefault="00256343" w:rsidP="0025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6F3340B" w14:textId="77777777" w:rsidR="00256343" w:rsidRDefault="00256343" w:rsidP="0025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dokument załączam do niniejszej oferty.</w:t>
      </w:r>
    </w:p>
    <w:p w14:paraId="4B205BE4" w14:textId="77777777" w:rsidR="00256343" w:rsidRDefault="00256343" w:rsidP="00256343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……………………………………</w:t>
      </w:r>
    </w:p>
    <w:p w14:paraId="33722820" w14:textId="77777777" w:rsidR="00256343" w:rsidRDefault="00256343" w:rsidP="00256343">
      <w:pPr>
        <w:tabs>
          <w:tab w:val="left" w:pos="540"/>
        </w:tabs>
        <w:ind w:left="4680" w:hanging="4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(Podpis i pieczątka upoważnionego    </w:t>
      </w:r>
    </w:p>
    <w:p w14:paraId="3D7A157D" w14:textId="77777777" w:rsidR="00256343" w:rsidRDefault="00256343" w:rsidP="00256343">
      <w:pPr>
        <w:ind w:left="5160"/>
        <w:rPr>
          <w:rFonts w:ascii="Arial" w:hAnsi="Arial" w:cs="Arial"/>
          <w:sz w:val="20"/>
          <w:szCs w:val="20"/>
        </w:rPr>
      </w:pPr>
    </w:p>
    <w:p w14:paraId="0F97294A" w14:textId="77777777" w:rsidR="00256343" w:rsidRDefault="00256343" w:rsidP="002563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przedstawiciela wykonawcy)   </w:t>
      </w:r>
    </w:p>
    <w:p w14:paraId="3517BD4C" w14:textId="77777777" w:rsidR="00256343" w:rsidRDefault="00256343" w:rsidP="00256343">
      <w:pPr>
        <w:rPr>
          <w:rFonts w:ascii="Arial" w:hAnsi="Arial" w:cs="Arial"/>
          <w:sz w:val="20"/>
          <w:szCs w:val="20"/>
        </w:rPr>
      </w:pPr>
    </w:p>
    <w:p w14:paraId="340D7028" w14:textId="77777777" w:rsidR="009D4FE9" w:rsidRDefault="009D4FE9" w:rsidP="00004FA4">
      <w:pPr>
        <w:pStyle w:val="Nagwek1"/>
        <w:spacing w:after="8"/>
        <w:rPr>
          <w:rFonts w:ascii="Arial" w:hAnsi="Arial" w:cs="Arial"/>
          <w:b w:val="0"/>
          <w:sz w:val="20"/>
        </w:rPr>
      </w:pPr>
      <w:bookmarkStart w:id="1" w:name="_Toc458168683"/>
    </w:p>
    <w:p w14:paraId="682F2777" w14:textId="12C3042D" w:rsidR="00004FA4" w:rsidRPr="00B2462E" w:rsidRDefault="00004FA4" w:rsidP="00004FA4">
      <w:pPr>
        <w:pStyle w:val="Nagwek1"/>
        <w:spacing w:after="8"/>
        <w:rPr>
          <w:rFonts w:ascii="Arial" w:hAnsi="Arial" w:cs="Arial"/>
          <w:b w:val="0"/>
          <w:sz w:val="20"/>
        </w:rPr>
      </w:pPr>
      <w:r w:rsidRPr="00B2462E">
        <w:rPr>
          <w:rFonts w:ascii="Arial" w:hAnsi="Arial" w:cs="Arial"/>
          <w:b w:val="0"/>
          <w:sz w:val="20"/>
        </w:rPr>
        <w:t>Zał</w:t>
      </w:r>
      <w:r w:rsidR="00317A96">
        <w:rPr>
          <w:rFonts w:ascii="Arial" w:hAnsi="Arial" w:cs="Arial"/>
          <w:b w:val="0"/>
          <w:sz w:val="20"/>
        </w:rPr>
        <w:t>ącznik numer</w:t>
      </w:r>
      <w:r w:rsidR="00D9752F">
        <w:rPr>
          <w:rFonts w:ascii="Arial" w:hAnsi="Arial" w:cs="Arial"/>
          <w:b w:val="0"/>
          <w:sz w:val="20"/>
        </w:rPr>
        <w:t xml:space="preserve"> 2</w:t>
      </w:r>
      <w:r>
        <w:rPr>
          <w:rFonts w:ascii="Arial" w:hAnsi="Arial" w:cs="Arial"/>
          <w:b w:val="0"/>
          <w:sz w:val="20"/>
        </w:rPr>
        <w:t>.</w:t>
      </w:r>
    </w:p>
    <w:bookmarkEnd w:id="1"/>
    <w:p w14:paraId="1E010218" w14:textId="6D0C555A" w:rsidR="006C1DD6" w:rsidRPr="00BA4647" w:rsidRDefault="006C1DD6" w:rsidP="006C1DD6">
      <w:pPr>
        <w:rPr>
          <w:rFonts w:ascii="Calibri" w:hAnsi="Calibri" w:cs="Arial"/>
          <w:color w:val="000000"/>
          <w:sz w:val="20"/>
          <w:szCs w:val="20"/>
        </w:rPr>
      </w:pPr>
    </w:p>
    <w:p w14:paraId="27BA0B71" w14:textId="42B428E6" w:rsidR="006C1DD6" w:rsidRPr="00BA4647" w:rsidRDefault="006C1DD6" w:rsidP="006C1DD6">
      <w:pPr>
        <w:rPr>
          <w:rFonts w:ascii="Calibri" w:hAnsi="Calibri" w:cs="Arial"/>
          <w:color w:val="000000"/>
          <w:sz w:val="20"/>
          <w:szCs w:val="20"/>
        </w:rPr>
      </w:pPr>
      <w:r w:rsidRPr="00BA4647">
        <w:rPr>
          <w:rFonts w:ascii="Calibri" w:hAnsi="Calibri" w:cs="Arial"/>
          <w:color w:val="000000"/>
          <w:sz w:val="20"/>
          <w:szCs w:val="20"/>
        </w:rPr>
        <w:t>OPI</w:t>
      </w:r>
      <w:r w:rsidR="009D4FE9">
        <w:rPr>
          <w:rFonts w:ascii="Calibri" w:hAnsi="Calibri" w:cs="Arial"/>
          <w:color w:val="000000"/>
          <w:sz w:val="20"/>
          <w:szCs w:val="20"/>
        </w:rPr>
        <w:t>S PRZEDMIOTU ZAMÓWIENIA – dostawa monitora i statywu.</w:t>
      </w:r>
    </w:p>
    <w:p w14:paraId="2755B4C9" w14:textId="77777777" w:rsidR="006C1DD6" w:rsidRPr="00BA4647" w:rsidRDefault="006C1DD6" w:rsidP="006C1DD6">
      <w:pPr>
        <w:ind w:hanging="852"/>
        <w:jc w:val="center"/>
        <w:rPr>
          <w:rFonts w:ascii="Calibri" w:hAnsi="Calibri" w:cs="Arial"/>
          <w:color w:val="000000"/>
          <w:sz w:val="20"/>
          <w:szCs w:val="20"/>
        </w:rPr>
      </w:pPr>
    </w:p>
    <w:p w14:paraId="1E05487B" w14:textId="77777777" w:rsidR="006C1DD6" w:rsidRPr="00BA4647" w:rsidRDefault="006C1DD6" w:rsidP="006C1DD6">
      <w:pPr>
        <w:ind w:firstLine="360"/>
        <w:rPr>
          <w:rFonts w:ascii="Calibri" w:hAnsi="Calibri" w:cs="Arial"/>
          <w:b/>
          <w:color w:val="000000"/>
          <w:sz w:val="20"/>
          <w:szCs w:val="20"/>
        </w:rPr>
      </w:pPr>
      <w:r w:rsidRPr="00BA4647">
        <w:rPr>
          <w:rFonts w:ascii="Calibri" w:hAnsi="Calibri" w:cs="Arial"/>
          <w:b/>
          <w:color w:val="000000"/>
          <w:sz w:val="20"/>
          <w:szCs w:val="20"/>
        </w:rPr>
        <w:t>Uwagi:</w:t>
      </w:r>
    </w:p>
    <w:p w14:paraId="4BBA58C5" w14:textId="77777777" w:rsidR="006C1DD6" w:rsidRPr="00BA4647" w:rsidRDefault="006C1DD6" w:rsidP="006C1DD6">
      <w:pPr>
        <w:pStyle w:val="Akapitzlist"/>
        <w:numPr>
          <w:ilvl w:val="0"/>
          <w:numId w:val="37"/>
        </w:numPr>
        <w:jc w:val="both"/>
        <w:rPr>
          <w:b/>
          <w:sz w:val="20"/>
          <w:szCs w:val="20"/>
        </w:rPr>
      </w:pPr>
      <w:r w:rsidRPr="00BA4647">
        <w:rPr>
          <w:b/>
          <w:sz w:val="20"/>
          <w:szCs w:val="20"/>
        </w:rPr>
        <w:t>Dopuszcza się oferowanie urządzeń równoważnych, o nie gorszych parametrach, zgodnych w pełni funkcjonalnie z przedstawionymi w poniższej specyfikacji.</w:t>
      </w:r>
    </w:p>
    <w:p w14:paraId="46EC5F59" w14:textId="77777777" w:rsidR="006C1DD6" w:rsidRPr="00BA4647" w:rsidRDefault="006C1DD6" w:rsidP="006C1DD6">
      <w:pPr>
        <w:pStyle w:val="Akapitzlist"/>
        <w:numPr>
          <w:ilvl w:val="0"/>
          <w:numId w:val="37"/>
        </w:numPr>
        <w:jc w:val="both"/>
        <w:rPr>
          <w:b/>
          <w:sz w:val="20"/>
          <w:szCs w:val="20"/>
        </w:rPr>
      </w:pPr>
      <w:r w:rsidRPr="00BA4647">
        <w:rPr>
          <w:b/>
          <w:sz w:val="20"/>
          <w:szCs w:val="20"/>
        </w:rPr>
        <w:t>Przedstawione w specyfikacji urządzenia należy traktować jako urządzenia wzorcowe, spełniające minimalne wymagania.</w:t>
      </w:r>
    </w:p>
    <w:p w14:paraId="7512B4BE" w14:textId="77777777" w:rsidR="006C1DD6" w:rsidRPr="00BA4647" w:rsidRDefault="006C1DD6" w:rsidP="006C1DD6">
      <w:pPr>
        <w:pStyle w:val="Akapitzlist"/>
        <w:numPr>
          <w:ilvl w:val="0"/>
          <w:numId w:val="37"/>
        </w:numPr>
        <w:jc w:val="both"/>
        <w:rPr>
          <w:b/>
          <w:sz w:val="20"/>
          <w:szCs w:val="20"/>
        </w:rPr>
      </w:pPr>
      <w:r w:rsidRPr="00BA4647">
        <w:rPr>
          <w:b/>
          <w:sz w:val="20"/>
          <w:szCs w:val="20"/>
        </w:rPr>
        <w:t>Urządzenia muszą pochodzić z autoryzowanego przez producenta kanału dystrybucji.</w:t>
      </w:r>
    </w:p>
    <w:p w14:paraId="69ACCDF0" w14:textId="77777777" w:rsidR="006C1DD6" w:rsidRPr="00BA4647" w:rsidRDefault="006C1DD6" w:rsidP="006C1DD6">
      <w:pPr>
        <w:pStyle w:val="Akapitzlist"/>
        <w:numPr>
          <w:ilvl w:val="0"/>
          <w:numId w:val="37"/>
        </w:numPr>
        <w:jc w:val="both"/>
        <w:rPr>
          <w:b/>
          <w:sz w:val="20"/>
          <w:szCs w:val="20"/>
        </w:rPr>
      </w:pPr>
      <w:r w:rsidRPr="00BA4647">
        <w:rPr>
          <w:b/>
          <w:sz w:val="20"/>
          <w:szCs w:val="20"/>
        </w:rPr>
        <w:t>Urządzenia muszą być fabrycznie nowe i być wyprodukowane nie wcześniej niż 6 miesięcy przed ich dostarczeniem Zamawiającemu.</w:t>
      </w:r>
    </w:p>
    <w:p w14:paraId="25656634" w14:textId="77777777" w:rsidR="006C1DD6" w:rsidRPr="00BA4647" w:rsidRDefault="006C1DD6" w:rsidP="006C1DD6">
      <w:pPr>
        <w:pStyle w:val="Akapitzlist"/>
        <w:numPr>
          <w:ilvl w:val="0"/>
          <w:numId w:val="37"/>
        </w:numPr>
        <w:jc w:val="both"/>
        <w:rPr>
          <w:b/>
          <w:sz w:val="20"/>
          <w:szCs w:val="20"/>
        </w:rPr>
      </w:pPr>
      <w:r w:rsidRPr="00BA4647">
        <w:rPr>
          <w:b/>
          <w:sz w:val="20"/>
          <w:szCs w:val="20"/>
        </w:rPr>
        <w:t>Jeśli w opisach wymaganych parametrów minimalnych nie została określona tolerancja wymiarów lub parametrów technicznych, to Zamawiający dopuszcza tolerancję +/-5%.</w:t>
      </w:r>
    </w:p>
    <w:p w14:paraId="3E0E8F97" w14:textId="77777777" w:rsidR="006C1DD6" w:rsidRPr="00BA4647" w:rsidRDefault="006C1DD6" w:rsidP="006C1DD6">
      <w:pPr>
        <w:ind w:hanging="852"/>
        <w:jc w:val="center"/>
        <w:rPr>
          <w:rFonts w:ascii="Calibri" w:hAnsi="Calibri" w:cs="Arial"/>
          <w:color w:val="000000"/>
          <w:sz w:val="20"/>
          <w:szCs w:val="20"/>
        </w:rPr>
      </w:pPr>
    </w:p>
    <w:p w14:paraId="4FA75E42" w14:textId="77777777" w:rsidR="006C1DD6" w:rsidRPr="00BA4647" w:rsidRDefault="006C1DD6" w:rsidP="006C1DD6">
      <w:pPr>
        <w:tabs>
          <w:tab w:val="left" w:pos="3576"/>
        </w:tabs>
        <w:ind w:hanging="852"/>
        <w:rPr>
          <w:rFonts w:ascii="Calibri" w:hAnsi="Calibri" w:cs="Arial"/>
          <w:color w:val="000000"/>
          <w:sz w:val="20"/>
          <w:szCs w:val="20"/>
        </w:rPr>
      </w:pPr>
      <w:r w:rsidRPr="00BA4647">
        <w:rPr>
          <w:rFonts w:ascii="Calibri" w:hAnsi="Calibri" w:cs="Arial"/>
          <w:color w:val="000000"/>
          <w:sz w:val="20"/>
          <w:szCs w:val="20"/>
        </w:rPr>
        <w:tab/>
      </w:r>
      <w:r w:rsidRPr="00BA4647">
        <w:rPr>
          <w:rFonts w:ascii="Calibri" w:hAnsi="Calibri" w:cs="Arial"/>
          <w:color w:val="000000"/>
          <w:sz w:val="20"/>
          <w:szCs w:val="20"/>
        </w:rPr>
        <w:tab/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72"/>
        <w:gridCol w:w="3940"/>
        <w:gridCol w:w="709"/>
      </w:tblGrid>
      <w:tr w:rsidR="006C1DD6" w:rsidRPr="00BA4647" w14:paraId="0E9D6412" w14:textId="77777777" w:rsidTr="00155F81">
        <w:tc>
          <w:tcPr>
            <w:tcW w:w="568" w:type="dxa"/>
            <w:shd w:val="clear" w:color="auto" w:fill="auto"/>
          </w:tcPr>
          <w:p w14:paraId="62D7F1FA" w14:textId="77777777" w:rsidR="006C1DD6" w:rsidRPr="00BA4647" w:rsidRDefault="006C1DD6" w:rsidP="00FF68A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A4647">
              <w:rPr>
                <w:rFonts w:ascii="Calibri" w:hAnsi="Calibri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72" w:type="dxa"/>
            <w:shd w:val="clear" w:color="auto" w:fill="auto"/>
          </w:tcPr>
          <w:p w14:paraId="116AE228" w14:textId="77777777" w:rsidR="006C1DD6" w:rsidRPr="00BA4647" w:rsidRDefault="006C1DD6" w:rsidP="00FF68A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A4647">
              <w:rPr>
                <w:rFonts w:ascii="Calibri" w:hAnsi="Calibri" w:cs="Arial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3940" w:type="dxa"/>
            <w:shd w:val="clear" w:color="auto" w:fill="auto"/>
          </w:tcPr>
          <w:p w14:paraId="4C72E64E" w14:textId="77777777" w:rsidR="006C1DD6" w:rsidRPr="00155F81" w:rsidRDefault="006C1DD6" w:rsidP="00FF68A5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155F81">
              <w:rPr>
                <w:rFonts w:ascii="Calibri" w:hAnsi="Calibri" w:cs="Arial"/>
                <w:b/>
                <w:color w:val="000000"/>
              </w:rPr>
              <w:t>Wymagane parametry minimalne</w:t>
            </w:r>
          </w:p>
        </w:tc>
        <w:tc>
          <w:tcPr>
            <w:tcW w:w="709" w:type="dxa"/>
            <w:shd w:val="clear" w:color="auto" w:fill="auto"/>
          </w:tcPr>
          <w:p w14:paraId="6EFA2D01" w14:textId="77777777" w:rsidR="006C1DD6" w:rsidRPr="00BA4647" w:rsidRDefault="006C1DD6" w:rsidP="00FF68A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A4647">
              <w:rPr>
                <w:rFonts w:ascii="Calibri" w:hAnsi="Calibri" w:cs="Arial"/>
                <w:color w:val="000000"/>
                <w:sz w:val="20"/>
                <w:szCs w:val="20"/>
              </w:rPr>
              <w:t>Ilość</w:t>
            </w:r>
          </w:p>
        </w:tc>
      </w:tr>
      <w:tr w:rsidR="006C1DD6" w:rsidRPr="00BA4647" w14:paraId="727A150F" w14:textId="77777777" w:rsidTr="00155F81">
        <w:tc>
          <w:tcPr>
            <w:tcW w:w="568" w:type="dxa"/>
            <w:shd w:val="clear" w:color="auto" w:fill="auto"/>
          </w:tcPr>
          <w:p w14:paraId="4714BECF" w14:textId="77777777" w:rsidR="006C1DD6" w:rsidRPr="00BA4647" w:rsidRDefault="006C1DD6" w:rsidP="00FF68A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A4647">
              <w:rPr>
                <w:rFonts w:ascii="Calibri" w:hAnsi="Calibri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2" w:type="dxa"/>
            <w:shd w:val="clear" w:color="auto" w:fill="auto"/>
          </w:tcPr>
          <w:p w14:paraId="528F952D" w14:textId="77777777" w:rsidR="006C1DD6" w:rsidRPr="00155F81" w:rsidRDefault="009D4FE9" w:rsidP="00FF68A5">
            <w:pPr>
              <w:shd w:val="clear" w:color="auto" w:fill="FFFFFF"/>
              <w:outlineLvl w:val="3"/>
              <w:rPr>
                <w:rFonts w:ascii="Calibri" w:eastAsia="Times New Roman" w:hAnsi="Calibri" w:cs="Arial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155F81">
              <w:rPr>
                <w:rFonts w:ascii="Calibri" w:eastAsia="Times New Roman" w:hAnsi="Calibri" w:cs="Arial"/>
                <w:b/>
                <w:i/>
                <w:color w:val="000000"/>
                <w:sz w:val="20"/>
                <w:szCs w:val="20"/>
                <w:lang w:eastAsia="ar-SA"/>
              </w:rPr>
              <w:t xml:space="preserve">Monitor. Zdjęcie </w:t>
            </w:r>
            <w:r w:rsidR="00155F81" w:rsidRPr="00155F81">
              <w:rPr>
                <w:rFonts w:ascii="Calibri" w:eastAsia="Times New Roman" w:hAnsi="Calibri" w:cs="Arial"/>
                <w:b/>
                <w:i/>
                <w:color w:val="000000"/>
                <w:sz w:val="20"/>
                <w:szCs w:val="20"/>
                <w:lang w:eastAsia="ar-SA"/>
              </w:rPr>
              <w:t>poglądowe</w:t>
            </w:r>
            <w:r w:rsidRPr="00155F81">
              <w:rPr>
                <w:rFonts w:ascii="Calibri" w:eastAsia="Times New Roman" w:hAnsi="Calibri" w:cs="Arial"/>
                <w:b/>
                <w:i/>
                <w:color w:val="000000"/>
                <w:sz w:val="20"/>
                <w:szCs w:val="20"/>
                <w:lang w:eastAsia="ar-SA"/>
              </w:rPr>
              <w:t>.</w:t>
            </w:r>
          </w:p>
          <w:p w14:paraId="695ABE94" w14:textId="77777777" w:rsidR="00155F81" w:rsidRDefault="00155F81" w:rsidP="00FF68A5">
            <w:pPr>
              <w:shd w:val="clear" w:color="auto" w:fill="FFFFFF"/>
              <w:outlineLvl w:val="3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</w:pPr>
          </w:p>
          <w:p w14:paraId="01E8F4DA" w14:textId="34D1EB94" w:rsidR="00155F81" w:rsidRPr="00BA4647" w:rsidRDefault="00155F81" w:rsidP="00FF68A5">
            <w:pPr>
              <w:shd w:val="clear" w:color="auto" w:fill="FFFFFF"/>
              <w:outlineLvl w:val="3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noProof/>
                <w:color w:val="323232"/>
                <w:sz w:val="17"/>
                <w:szCs w:val="17"/>
                <w:lang w:val="pl-PL"/>
              </w:rPr>
              <w:drawing>
                <wp:inline distT="0" distB="0" distL="0" distR="0" wp14:anchorId="74474C87" wp14:editId="6E4FC6FC">
                  <wp:extent cx="2377440" cy="1554480"/>
                  <wp:effectExtent l="0" t="0" r="3810" b="7620"/>
                  <wp:docPr id="1" name="mainpic" descr="Monitor interaktywny BenQ RP553K 55">
                    <a:hlinkClick xmlns:a="http://schemas.openxmlformats.org/drawingml/2006/main" r:id="rId10" tooltip="&quot;Monitor interaktywny BenQ RP553K 5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pic" descr="Monitor interaktywny BenQ RP553K 55">
                            <a:hlinkClick r:id="rId10" tooltip="&quot;Monitor interaktywny BenQ RP553K 5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shd w:val="clear" w:color="auto" w:fill="auto"/>
          </w:tcPr>
          <w:p w14:paraId="70123896" w14:textId="77777777" w:rsidR="009D4FE9" w:rsidRDefault="009D4FE9" w:rsidP="009D4FE9">
            <w:r>
              <w:rPr>
                <w:u w:val="single"/>
              </w:rPr>
              <w:t>rodzaj monitora</w:t>
            </w:r>
            <w:r w:rsidRPr="00BF35C1">
              <w:t xml:space="preserve"> – interaktywny;  </w:t>
            </w:r>
          </w:p>
          <w:p w14:paraId="710CB39A" w14:textId="77777777" w:rsidR="009D4FE9" w:rsidRDefault="009D4FE9" w:rsidP="009D4FE9">
            <w:r>
              <w:rPr>
                <w:u w:val="single"/>
              </w:rPr>
              <w:t>w</w:t>
            </w:r>
            <w:r w:rsidRPr="00B703CC">
              <w:rPr>
                <w:u w:val="single"/>
              </w:rPr>
              <w:t>yświetlacz</w:t>
            </w:r>
            <w:r>
              <w:t xml:space="preserve"> -  LED; </w:t>
            </w:r>
          </w:p>
          <w:p w14:paraId="028D2F3F" w14:textId="77777777" w:rsidR="009D4FE9" w:rsidRDefault="009D4FE9" w:rsidP="009D4FE9">
            <w:r w:rsidRPr="00B703CC">
              <w:rPr>
                <w:u w:val="single"/>
              </w:rPr>
              <w:t>rodzaj podświetlenia</w:t>
            </w:r>
            <w:r>
              <w:t xml:space="preserve"> -  LED/DLED; </w:t>
            </w:r>
          </w:p>
          <w:p w14:paraId="0AC8486B" w14:textId="77777777" w:rsidR="009D4FE9" w:rsidRDefault="009D4FE9" w:rsidP="009D4FE9">
            <w:r w:rsidRPr="00B703CC">
              <w:rPr>
                <w:u w:val="single"/>
              </w:rPr>
              <w:t>przekątna</w:t>
            </w:r>
            <w:r>
              <w:t xml:space="preserve"> – min. 55 cali; </w:t>
            </w:r>
          </w:p>
          <w:p w14:paraId="447F0024" w14:textId="77777777" w:rsidR="009D4FE9" w:rsidRDefault="009D4FE9" w:rsidP="009D4FE9">
            <w:r w:rsidRPr="007E582B">
              <w:rPr>
                <w:u w:val="single"/>
              </w:rPr>
              <w:t>kąt widzenia</w:t>
            </w:r>
            <w:r>
              <w:t xml:space="preserve"> – min. 170 stopni; </w:t>
            </w:r>
          </w:p>
          <w:p w14:paraId="520C5A64" w14:textId="77777777" w:rsidR="009D4FE9" w:rsidRDefault="009D4FE9" w:rsidP="009D4FE9">
            <w:r w:rsidRPr="00B703CC">
              <w:rPr>
                <w:u w:val="single"/>
              </w:rPr>
              <w:t>jasność</w:t>
            </w:r>
            <w:r>
              <w:t xml:space="preserve"> – min. 350 cd/m2; </w:t>
            </w:r>
          </w:p>
          <w:p w14:paraId="49AAC22B" w14:textId="77777777" w:rsidR="009D4FE9" w:rsidRDefault="009D4FE9" w:rsidP="009D4FE9">
            <w:r w:rsidRPr="00B703CC">
              <w:rPr>
                <w:u w:val="single"/>
              </w:rPr>
              <w:t>kontrast</w:t>
            </w:r>
            <w:r>
              <w:t xml:space="preserve"> – min. 4000:1;</w:t>
            </w:r>
          </w:p>
          <w:p w14:paraId="73921CEB" w14:textId="77777777" w:rsidR="009D4FE9" w:rsidRDefault="009D4FE9" w:rsidP="009D4FE9">
            <w:r>
              <w:t xml:space="preserve"> </w:t>
            </w:r>
            <w:r w:rsidRPr="00B703CC">
              <w:rPr>
                <w:u w:val="single"/>
              </w:rPr>
              <w:t>czas reakcji matrycy</w:t>
            </w:r>
            <w:r>
              <w:t xml:space="preserve">: max 8 ms; </w:t>
            </w:r>
          </w:p>
          <w:p w14:paraId="20FEB523" w14:textId="77777777" w:rsidR="009D4FE9" w:rsidRDefault="009D4FE9" w:rsidP="009D4FE9">
            <w:r>
              <w:rPr>
                <w:u w:val="single"/>
              </w:rPr>
              <w:t xml:space="preserve">rozdzielczość  </w:t>
            </w:r>
            <w:r w:rsidRPr="00073DA1">
              <w:t>-</w:t>
            </w:r>
            <w:r>
              <w:t xml:space="preserve"> Full HD; </w:t>
            </w:r>
          </w:p>
          <w:p w14:paraId="08BB0262" w14:textId="77777777" w:rsidR="00155F81" w:rsidRDefault="009D4FE9" w:rsidP="009D4FE9">
            <w:r>
              <w:t xml:space="preserve"> </w:t>
            </w:r>
            <w:r w:rsidRPr="00B560A2">
              <w:rPr>
                <w:u w:val="single"/>
              </w:rPr>
              <w:t>technologia dotyku IR</w:t>
            </w:r>
            <w:r>
              <w:t xml:space="preserve"> – 10-punktowy;  </w:t>
            </w:r>
          </w:p>
          <w:p w14:paraId="6D2603E5" w14:textId="77777777" w:rsidR="00155F81" w:rsidRDefault="009D4FE9" w:rsidP="009D4FE9">
            <w:r w:rsidRPr="00B560A2">
              <w:rPr>
                <w:u w:val="single"/>
              </w:rPr>
              <w:t>technologia</w:t>
            </w:r>
            <w:r>
              <w:t xml:space="preserve"> – pozycjonowanie w podczerwieni; </w:t>
            </w:r>
          </w:p>
          <w:p w14:paraId="1E43D560" w14:textId="66704BFE" w:rsidR="009D4FE9" w:rsidRDefault="009D4FE9" w:rsidP="009D4FE9">
            <w:r>
              <w:t xml:space="preserve"> </w:t>
            </w:r>
            <w:r w:rsidRPr="00073DA1">
              <w:rPr>
                <w:u w:val="single"/>
              </w:rPr>
              <w:t xml:space="preserve">typ złączy </w:t>
            </w:r>
            <w:r>
              <w:t xml:space="preserve">– HDMI, USB, USB-B (Dotyk) MIC (3.5 mm), VGA, Audio, AV, gniazdo OPS; wbudowane Wi-Fi; system Android/Android Box; </w:t>
            </w:r>
            <w:r w:rsidRPr="00DE0F11">
              <w:rPr>
                <w:u w:val="single"/>
              </w:rPr>
              <w:t>powierzchnia</w:t>
            </w:r>
            <w:r>
              <w:t xml:space="preserve"> – antyrefleksyjne szkło;</w:t>
            </w:r>
          </w:p>
          <w:p w14:paraId="3B203039" w14:textId="77777777" w:rsidR="009D4FE9" w:rsidRDefault="009D4FE9" w:rsidP="009D4FE9">
            <w:r>
              <w:t xml:space="preserve"> </w:t>
            </w:r>
            <w:r w:rsidRPr="00127C0F">
              <w:rPr>
                <w:u w:val="single"/>
              </w:rPr>
              <w:t>metoda obsługi</w:t>
            </w:r>
            <w:r>
              <w:t xml:space="preserve"> – palec i pisak; </w:t>
            </w:r>
          </w:p>
          <w:p w14:paraId="1CA0459D" w14:textId="77777777" w:rsidR="009D4FE9" w:rsidRDefault="009D4FE9" w:rsidP="009D4FE9">
            <w:r w:rsidRPr="00127C0F">
              <w:rPr>
                <w:u w:val="single"/>
              </w:rPr>
              <w:t>moc głośników</w:t>
            </w:r>
            <w:r>
              <w:t xml:space="preserve"> – min. 12Wx2; </w:t>
            </w:r>
          </w:p>
          <w:p w14:paraId="2289B149" w14:textId="77777777" w:rsidR="009D4FE9" w:rsidRDefault="009D4FE9" w:rsidP="009D4FE9">
            <w:r w:rsidRPr="00127C0F">
              <w:rPr>
                <w:u w:val="single"/>
              </w:rPr>
              <w:t>metoda instalacji</w:t>
            </w:r>
            <w:r>
              <w:t xml:space="preserve"> – podstawa jezdna;</w:t>
            </w:r>
          </w:p>
          <w:p w14:paraId="699530BD" w14:textId="77777777" w:rsidR="009D4FE9" w:rsidRDefault="009D4FE9" w:rsidP="009D4FE9">
            <w:r w:rsidRPr="00BA4B35">
              <w:rPr>
                <w:u w:val="single"/>
              </w:rPr>
              <w:t>wymiary</w:t>
            </w:r>
            <w:r>
              <w:t xml:space="preserve"> -  wys/szer/gr [cm] – min. 75/ min. 120/ max. 15; </w:t>
            </w:r>
          </w:p>
          <w:p w14:paraId="74123F6C" w14:textId="77777777" w:rsidR="009D4FE9" w:rsidRDefault="009D4FE9" w:rsidP="009D4FE9">
            <w:r w:rsidRPr="00BF35C1">
              <w:rPr>
                <w:u w:val="single"/>
              </w:rPr>
              <w:t>waga</w:t>
            </w:r>
            <w:r>
              <w:t xml:space="preserve"> –  max 45 kg; </w:t>
            </w:r>
          </w:p>
          <w:p w14:paraId="52887DCF" w14:textId="77777777" w:rsidR="00155F81" w:rsidRDefault="009D4FE9" w:rsidP="009D4FE9">
            <w:r w:rsidRPr="00006A5F">
              <w:rPr>
                <w:u w:val="single"/>
              </w:rPr>
              <w:t>akcesoria</w:t>
            </w:r>
            <w:r>
              <w:t xml:space="preserve"> – pilot z bateriami, pisak, przewód audio, przewód HDMI, przewód USB, przewód VGA, </w:t>
            </w:r>
            <w:r>
              <w:lastRenderedPageBreak/>
              <w:t xml:space="preserve">przewód zasilający, instrukcja obsługi; </w:t>
            </w:r>
          </w:p>
          <w:p w14:paraId="73E24D04" w14:textId="594F56F3" w:rsidR="006C1DD6" w:rsidRPr="009D4FE9" w:rsidRDefault="009D4FE9" w:rsidP="009D4FE9">
            <w:r w:rsidRPr="00BF35C1">
              <w:rPr>
                <w:u w:val="single"/>
              </w:rPr>
              <w:t>gwarancja</w:t>
            </w:r>
            <w:r>
              <w:t xml:space="preserve"> – min. 3 lata;</w:t>
            </w:r>
          </w:p>
        </w:tc>
        <w:tc>
          <w:tcPr>
            <w:tcW w:w="709" w:type="dxa"/>
            <w:shd w:val="clear" w:color="auto" w:fill="auto"/>
          </w:tcPr>
          <w:p w14:paraId="4BB178F4" w14:textId="3A5948D9" w:rsidR="006C1DD6" w:rsidRPr="00BA4647" w:rsidRDefault="009D4FE9" w:rsidP="00FF68A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6C1DD6" w:rsidRPr="00BA4647" w14:paraId="30C939F4" w14:textId="77777777" w:rsidTr="00155F81">
        <w:tc>
          <w:tcPr>
            <w:tcW w:w="568" w:type="dxa"/>
            <w:shd w:val="clear" w:color="auto" w:fill="auto"/>
          </w:tcPr>
          <w:p w14:paraId="5086DA48" w14:textId="77777777" w:rsidR="006C1DD6" w:rsidRPr="00BA4647" w:rsidRDefault="006C1DD6" w:rsidP="00FF68A5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A4647">
              <w:rPr>
                <w:rFonts w:ascii="Calibri" w:hAnsi="Calibri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2" w:type="dxa"/>
            <w:shd w:val="clear" w:color="auto" w:fill="auto"/>
          </w:tcPr>
          <w:p w14:paraId="6070E37B" w14:textId="5B45509D" w:rsidR="006C1DD6" w:rsidRDefault="009D4FE9" w:rsidP="00FF68A5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  <w:t>Statyw</w:t>
            </w:r>
            <w:r w:rsidR="006C4CA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  <w:t xml:space="preserve"> mobilny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  <w:t>.</w:t>
            </w:r>
            <w:r w:rsidR="00155F8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  <w:t xml:space="preserve"> Zdjęcie poglądowe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  <w:t>.</w:t>
            </w:r>
          </w:p>
          <w:p w14:paraId="0D3270E1" w14:textId="77777777" w:rsidR="00155F81" w:rsidRDefault="00155F81" w:rsidP="00FF68A5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</w:pPr>
          </w:p>
          <w:p w14:paraId="6321130C" w14:textId="77777777" w:rsidR="00155F81" w:rsidRPr="00BA4647" w:rsidRDefault="00155F81" w:rsidP="00FF68A5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</w:pPr>
          </w:p>
          <w:p w14:paraId="65D3D207" w14:textId="2E354EB2" w:rsidR="006C1DD6" w:rsidRPr="00BA4647" w:rsidRDefault="00155F81" w:rsidP="00FF68A5">
            <w:pPr>
              <w:snapToGri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noProof/>
                <w:color w:val="323232"/>
                <w:sz w:val="17"/>
                <w:szCs w:val="17"/>
                <w:lang w:val="pl-PL"/>
              </w:rPr>
              <w:drawing>
                <wp:inline distT="0" distB="0" distL="0" distR="0" wp14:anchorId="4E18D276" wp14:editId="294EE3DE">
                  <wp:extent cx="1089660" cy="1981200"/>
                  <wp:effectExtent l="0" t="0" r="0" b="0"/>
                  <wp:docPr id="3" name="mainpic" descr="Wózek do ekranu LED/LCD TR1, TR1S">
                    <a:hlinkClick xmlns:a="http://schemas.openxmlformats.org/drawingml/2006/main" r:id="rId12" tooltip="&quot;Wózek do ekranu LED/LCD TR1, TR1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pic" descr="Wózek do ekranu LED/LCD TR1, TR1S">
                            <a:hlinkClick r:id="rId12" tooltip="&quot;Wózek do ekranu LED/LCD TR1, TR1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D4969" w14:textId="77777777" w:rsidR="006C1DD6" w:rsidRPr="00BA4647" w:rsidRDefault="006C1DD6" w:rsidP="00FF68A5">
            <w:pPr>
              <w:snapToGri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40" w:type="dxa"/>
            <w:shd w:val="clear" w:color="auto" w:fill="auto"/>
          </w:tcPr>
          <w:p w14:paraId="512F7237" w14:textId="77777777" w:rsidR="00155F81" w:rsidRPr="00155F81" w:rsidRDefault="006C4CAC" w:rsidP="00155F81">
            <w:pPr>
              <w:rPr>
                <w:b/>
              </w:rPr>
            </w:pPr>
            <w:r w:rsidRPr="00155F81">
              <w:rPr>
                <w:b/>
              </w:rPr>
              <w:t xml:space="preserve">Statyw </w:t>
            </w:r>
            <w:r w:rsidR="00155F81" w:rsidRPr="00155F81">
              <w:rPr>
                <w:b/>
              </w:rPr>
              <w:t>mobilny:</w:t>
            </w:r>
          </w:p>
          <w:p w14:paraId="39F0E17A" w14:textId="18A9D269" w:rsidR="006C4CAC" w:rsidRDefault="00155F81" w:rsidP="00155F81">
            <w:r>
              <w:t>-podstawa</w:t>
            </w:r>
            <w:r w:rsidR="006C4CAC">
              <w:t xml:space="preserve"> na kółkach z blokadą do swobodnego przemieszczania monitora interaktywnego.</w:t>
            </w:r>
          </w:p>
          <w:p w14:paraId="6906CA07" w14:textId="77777777" w:rsidR="006C4CAC" w:rsidRDefault="006C4CAC" w:rsidP="006C4CAC">
            <w:r>
              <w:t xml:space="preserve">Specyfikacja techniczna: </w:t>
            </w:r>
          </w:p>
          <w:p w14:paraId="7A624638" w14:textId="0A445791" w:rsidR="006C4CAC" w:rsidRDefault="006C4CAC" w:rsidP="006C4CAC">
            <w:r>
              <w:rPr>
                <w:u w:val="single"/>
              </w:rPr>
              <w:t>obciążenie</w:t>
            </w:r>
            <w:r>
              <w:t xml:space="preserve"> – możliwość obciążenia monitorem min. 45 kg; </w:t>
            </w:r>
          </w:p>
          <w:p w14:paraId="09342D5C" w14:textId="77777777" w:rsidR="00180FED" w:rsidRDefault="006C4CAC" w:rsidP="006C4CAC">
            <w:r>
              <w:rPr>
                <w:u w:val="single"/>
              </w:rPr>
              <w:t>obsługiwane przekątne</w:t>
            </w:r>
            <w:r>
              <w:t xml:space="preserve"> –   min. 55 cali; </w:t>
            </w:r>
          </w:p>
          <w:p w14:paraId="27FE3D26" w14:textId="31BCD466" w:rsidR="006C4CAC" w:rsidRDefault="006C4CAC" w:rsidP="006C4CAC">
            <w:r w:rsidRPr="006C4CAC">
              <w:rPr>
                <w:u w:val="single"/>
              </w:rPr>
              <w:t>maksymalna odległość góry ekranu od podłoża</w:t>
            </w:r>
            <w:r>
              <w:t xml:space="preserve">  -  180 cm; </w:t>
            </w:r>
          </w:p>
          <w:p w14:paraId="4E281B3E" w14:textId="77777777" w:rsidR="006C4CAC" w:rsidRDefault="006C4CAC" w:rsidP="006C4CAC">
            <w:r>
              <w:rPr>
                <w:u w:val="single"/>
              </w:rPr>
              <w:t>regulacja kąta nachylenia</w:t>
            </w:r>
            <w:r>
              <w:t xml:space="preserve"> – w zakresie -10 stopni/+5 stopni (+/- 1%) ; </w:t>
            </w:r>
          </w:p>
          <w:p w14:paraId="3621D77D" w14:textId="77777777" w:rsidR="00180FED" w:rsidRDefault="006C4CAC" w:rsidP="006C4CAC">
            <w:r>
              <w:rPr>
                <w:u w:val="single"/>
              </w:rPr>
              <w:t>standard VESA</w:t>
            </w:r>
            <w:r>
              <w:t xml:space="preserve"> – 75x75, 100x100, 200x100, 200x200, 300x300, 400x200, 400x400, 600x400; </w:t>
            </w:r>
          </w:p>
          <w:p w14:paraId="5CAA48C5" w14:textId="4B54A469" w:rsidR="006C4CAC" w:rsidRDefault="006C4CAC" w:rsidP="006C4CAC">
            <w:r>
              <w:rPr>
                <w:u w:val="single"/>
              </w:rPr>
              <w:t xml:space="preserve">kolor </w:t>
            </w:r>
            <w:r>
              <w:t>– czarny;</w:t>
            </w:r>
          </w:p>
          <w:p w14:paraId="13040B4E" w14:textId="785245F6" w:rsidR="006C1DD6" w:rsidRPr="006C4CAC" w:rsidRDefault="006C4CAC" w:rsidP="006C4CAC">
            <w:r>
              <w:t xml:space="preserve"> </w:t>
            </w:r>
            <w:r>
              <w:rPr>
                <w:u w:val="single"/>
              </w:rPr>
              <w:t>gwarancja</w:t>
            </w:r>
            <w:r>
              <w:t xml:space="preserve"> – min. 2 lata.</w:t>
            </w:r>
          </w:p>
        </w:tc>
        <w:tc>
          <w:tcPr>
            <w:tcW w:w="709" w:type="dxa"/>
            <w:shd w:val="clear" w:color="auto" w:fill="auto"/>
          </w:tcPr>
          <w:p w14:paraId="1D32613E" w14:textId="264DA363" w:rsidR="006C1DD6" w:rsidRPr="00BA4647" w:rsidRDefault="009D4FE9" w:rsidP="00FF68A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0F8905E5" w14:textId="2775CEF8" w:rsidR="00783A07" w:rsidRPr="00622C51" w:rsidRDefault="00783A07" w:rsidP="00783A07">
      <w:pPr>
        <w:spacing w:after="8"/>
        <w:jc w:val="both"/>
        <w:rPr>
          <w:rFonts w:ascii="Arial" w:hAnsi="Arial" w:cs="Arial"/>
          <w:sz w:val="20"/>
          <w:szCs w:val="20"/>
        </w:rPr>
      </w:pPr>
    </w:p>
    <w:sectPr w:rsidR="00783A07" w:rsidRPr="00622C51" w:rsidSect="00914AC5">
      <w:headerReference w:type="even" r:id="rId14"/>
      <w:headerReference w:type="default" r:id="rId15"/>
      <w:footerReference w:type="default" r:id="rId16"/>
      <w:pgSz w:w="11900" w:h="16840"/>
      <w:pgMar w:top="1697" w:right="1440" w:bottom="1440" w:left="1440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A118B" w14:textId="77777777" w:rsidR="007179A6" w:rsidRDefault="007179A6" w:rsidP="00532404">
      <w:r>
        <w:separator/>
      </w:r>
    </w:p>
  </w:endnote>
  <w:endnote w:type="continuationSeparator" w:id="0">
    <w:p w14:paraId="22933C90" w14:textId="77777777" w:rsidR="007179A6" w:rsidRDefault="007179A6" w:rsidP="0053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21o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T22o00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79551" w14:textId="77777777" w:rsidR="00D84962" w:rsidRDefault="00D84962" w:rsidP="00D84962">
    <w:pPr>
      <w:tabs>
        <w:tab w:val="center" w:pos="4536"/>
        <w:tab w:val="right" w:pos="9072"/>
      </w:tabs>
      <w:spacing w:line="276" w:lineRule="auto"/>
      <w:ind w:right="360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Muzeum Warszawy</w:t>
    </w:r>
  </w:p>
  <w:p w14:paraId="2B781EDE" w14:textId="77777777" w:rsidR="00D84962" w:rsidRDefault="00D84962" w:rsidP="00D84962">
    <w:pPr>
      <w:tabs>
        <w:tab w:val="center" w:pos="4536"/>
        <w:tab w:val="right" w:pos="9072"/>
      </w:tabs>
      <w:spacing w:line="276" w:lineRule="auto"/>
      <w:ind w:right="360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Rynek Starego Miasta 28, 00 – 272 Warszawa</w:t>
    </w:r>
  </w:p>
  <w:p w14:paraId="3A44E757" w14:textId="77777777" w:rsidR="00D84962" w:rsidRDefault="00D84962" w:rsidP="00D84962">
    <w:pPr>
      <w:tabs>
        <w:tab w:val="left" w:pos="3036"/>
        <w:tab w:val="left" w:pos="3468"/>
      </w:tabs>
      <w:spacing w:line="276" w:lineRule="auto"/>
      <w:ind w:right="360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tel. (+48) 22 27 74 300; 22 27 74 427</w:t>
    </w: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  <w:p w14:paraId="006BD365" w14:textId="77777777" w:rsidR="00D84962" w:rsidRPr="007D77B4" w:rsidRDefault="00D84962" w:rsidP="00D84962">
    <w:pPr>
      <w:tabs>
        <w:tab w:val="center" w:pos="4536"/>
        <w:tab w:val="right" w:pos="9072"/>
      </w:tabs>
      <w:spacing w:line="276" w:lineRule="auto"/>
      <w:rPr>
        <w:rFonts w:ascii="Arial" w:hAnsi="Arial" w:cs="Arial"/>
        <w:b/>
        <w:color w:val="7F7F7F"/>
        <w:sz w:val="16"/>
        <w:szCs w:val="16"/>
      </w:rPr>
    </w:pPr>
    <w:r w:rsidRPr="007D77B4">
      <w:rPr>
        <w:rFonts w:ascii="Arial" w:hAnsi="Arial" w:cs="Arial"/>
        <w:b/>
        <w:color w:val="7F7F7F"/>
        <w:sz w:val="16"/>
        <w:szCs w:val="16"/>
      </w:rPr>
      <w:t>www.muzeumwarszawy.pl / sekretariat@muzeumwarszawy.pl</w:t>
    </w:r>
  </w:p>
  <w:p w14:paraId="7EFF72F8" w14:textId="08BE1AD0" w:rsidR="00B369B1" w:rsidRDefault="00EE3F53" w:rsidP="00EE3F53">
    <w:pPr>
      <w:pStyle w:val="Stopka"/>
      <w:tabs>
        <w:tab w:val="left" w:pos="1080"/>
      </w:tabs>
    </w:pPr>
    <w:r>
      <w:tab/>
    </w:r>
    <w:r>
      <w:tab/>
    </w:r>
  </w:p>
  <w:p w14:paraId="28EA805E" w14:textId="1F5BCEA5" w:rsidR="00B369B1" w:rsidRDefault="00B369B1" w:rsidP="00914AC5">
    <w:pPr>
      <w:pStyle w:val="Stopka"/>
      <w:rPr>
        <w:rFonts w:ascii="Arial" w:hAnsi="Arial"/>
        <w:color w:val="7F7F7F"/>
        <w:sz w:val="13"/>
        <w:szCs w:val="13"/>
      </w:rPr>
    </w:pPr>
  </w:p>
  <w:p w14:paraId="474B5BC2" w14:textId="77777777" w:rsidR="00B369B1" w:rsidRDefault="00B369B1" w:rsidP="00914AC5">
    <w:pPr>
      <w:pStyle w:val="Stopka"/>
      <w:rPr>
        <w:rFonts w:ascii="Arial" w:hAnsi="Arial"/>
        <w:color w:val="7F7F7F"/>
        <w:sz w:val="13"/>
        <w:szCs w:val="13"/>
      </w:rPr>
    </w:pPr>
  </w:p>
  <w:p w14:paraId="6BAB2A60" w14:textId="77777777" w:rsidR="00B369B1" w:rsidRDefault="00B369B1" w:rsidP="00914AC5">
    <w:pPr>
      <w:pStyle w:val="Stopka"/>
      <w:jc w:val="center"/>
      <w:rPr>
        <w:rFonts w:ascii="Arial" w:hAnsi="Arial"/>
        <w:color w:val="7F7F7F"/>
        <w:sz w:val="13"/>
        <w:szCs w:val="13"/>
      </w:rPr>
    </w:pPr>
  </w:p>
  <w:p w14:paraId="2085A29B" w14:textId="77777777" w:rsidR="00B369B1" w:rsidRDefault="00B369B1" w:rsidP="00914AC5">
    <w:pPr>
      <w:pStyle w:val="Stopka"/>
      <w:jc w:val="center"/>
      <w:rPr>
        <w:rFonts w:ascii="Arial" w:hAnsi="Arial"/>
        <w:color w:val="7F7F7F"/>
        <w:sz w:val="13"/>
        <w:szCs w:val="13"/>
      </w:rPr>
    </w:pPr>
  </w:p>
  <w:p w14:paraId="5C8DBECF" w14:textId="77777777" w:rsidR="00B369B1" w:rsidRPr="000D370B" w:rsidRDefault="00B369B1" w:rsidP="00F542E3">
    <w:pPr>
      <w:pStyle w:val="Stopka"/>
      <w:spacing w:line="276" w:lineRule="auto"/>
      <w:rPr>
        <w:rFonts w:ascii="Arial" w:hAnsi="Arial"/>
        <w:color w:val="A6A6A6" w:themeColor="background1" w:themeShade="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7FBA" w14:textId="77777777" w:rsidR="007179A6" w:rsidRDefault="007179A6" w:rsidP="00532404">
      <w:r>
        <w:separator/>
      </w:r>
    </w:p>
  </w:footnote>
  <w:footnote w:type="continuationSeparator" w:id="0">
    <w:p w14:paraId="5FC9F71D" w14:textId="77777777" w:rsidR="007179A6" w:rsidRDefault="007179A6" w:rsidP="0053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868"/>
    </w:tblGrid>
    <w:tr w:rsidR="00B369B1" w:rsidRPr="0088634D" w14:paraId="3DFC367C" w14:textId="77777777" w:rsidTr="00D54A45">
      <w:tc>
        <w:tcPr>
          <w:tcW w:w="1152" w:type="dxa"/>
        </w:tcPr>
        <w:p w14:paraId="450C969B" w14:textId="06209C91" w:rsidR="00B369B1" w:rsidRDefault="00B369B1">
          <w:pPr>
            <w:pStyle w:val="Nagwek"/>
            <w:jc w:val="right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14:paraId="0EFA9393" w14:textId="1518A1F0" w:rsidR="00B369B1" w:rsidRDefault="00B369B1" w:rsidP="00C44B6B">
          <w:pPr>
            <w:pStyle w:val="Nagwek"/>
            <w:rPr>
              <w:rFonts w:ascii="Cambria" w:hAnsi="Cambria"/>
            </w:rPr>
          </w:pPr>
        </w:p>
      </w:tc>
    </w:tr>
  </w:tbl>
  <w:p w14:paraId="0FC302D9" w14:textId="77777777" w:rsidR="00B369B1" w:rsidRDefault="00B369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4D8DE" w14:textId="77777777" w:rsidR="00B369B1" w:rsidRDefault="00B369B1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07964E2F" wp14:editId="2C4222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397903"/>
          <wp:effectExtent l="0" t="0" r="0" b="8890"/>
          <wp:wrapNone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06D93" w14:textId="77777777" w:rsidR="00B369B1" w:rsidRPr="00F542E3" w:rsidRDefault="00B369B1">
    <w:pPr>
      <w:pStyle w:val="Nagwek"/>
      <w:rPr>
        <w:rFonts w:ascii="Arial" w:hAnsi="Arial" w:cs="Arial"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71E"/>
    <w:multiLevelType w:val="multilevel"/>
    <w:tmpl w:val="E07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1903"/>
    <w:multiLevelType w:val="hybridMultilevel"/>
    <w:tmpl w:val="7D627C36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B2D"/>
    <w:multiLevelType w:val="hybridMultilevel"/>
    <w:tmpl w:val="D410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DC8"/>
    <w:multiLevelType w:val="hybridMultilevel"/>
    <w:tmpl w:val="3E22E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481B"/>
    <w:multiLevelType w:val="hybridMultilevel"/>
    <w:tmpl w:val="C406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AD3"/>
    <w:multiLevelType w:val="hybridMultilevel"/>
    <w:tmpl w:val="7554A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5ED0"/>
    <w:multiLevelType w:val="hybridMultilevel"/>
    <w:tmpl w:val="1BF01E78"/>
    <w:lvl w:ilvl="0" w:tplc="A976B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5B00"/>
    <w:multiLevelType w:val="multilevel"/>
    <w:tmpl w:val="B44C45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F7A77"/>
    <w:multiLevelType w:val="hybridMultilevel"/>
    <w:tmpl w:val="F432DDA2"/>
    <w:lvl w:ilvl="0" w:tplc="B6FA1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72CE"/>
    <w:multiLevelType w:val="hybridMultilevel"/>
    <w:tmpl w:val="D478A302"/>
    <w:lvl w:ilvl="0" w:tplc="8FD081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 w15:restartNumberingAfterBreak="0">
    <w:nsid w:val="2A9D1609"/>
    <w:multiLevelType w:val="hybridMultilevel"/>
    <w:tmpl w:val="5CE05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4F68"/>
    <w:multiLevelType w:val="hybridMultilevel"/>
    <w:tmpl w:val="45DED9FA"/>
    <w:lvl w:ilvl="0" w:tplc="C002C6BA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927F7"/>
    <w:multiLevelType w:val="multilevel"/>
    <w:tmpl w:val="B618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D70E7"/>
    <w:multiLevelType w:val="hybridMultilevel"/>
    <w:tmpl w:val="CDF6F1D0"/>
    <w:lvl w:ilvl="0" w:tplc="5AEC6A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42BF0"/>
    <w:multiLevelType w:val="hybridMultilevel"/>
    <w:tmpl w:val="35160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93CCA"/>
    <w:multiLevelType w:val="hybridMultilevel"/>
    <w:tmpl w:val="D35E48DE"/>
    <w:lvl w:ilvl="0" w:tplc="DD943A08">
      <w:start w:val="1"/>
      <w:numFmt w:val="decimal"/>
      <w:lvlText w:val="%1."/>
      <w:lvlJc w:val="left"/>
      <w:pPr>
        <w:ind w:left="720" w:hanging="360"/>
      </w:pPr>
      <w:rPr>
        <w:rFonts w:eastAsia="TT21o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E386B"/>
    <w:multiLevelType w:val="hybridMultilevel"/>
    <w:tmpl w:val="6B32B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5106"/>
    <w:multiLevelType w:val="hybridMultilevel"/>
    <w:tmpl w:val="0316B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7C0"/>
    <w:multiLevelType w:val="multilevel"/>
    <w:tmpl w:val="4990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DC6D54"/>
    <w:multiLevelType w:val="hybridMultilevel"/>
    <w:tmpl w:val="0442D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0C9F"/>
    <w:multiLevelType w:val="hybridMultilevel"/>
    <w:tmpl w:val="549690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C5294"/>
    <w:multiLevelType w:val="hybridMultilevel"/>
    <w:tmpl w:val="544A3450"/>
    <w:lvl w:ilvl="0" w:tplc="3DE49F64">
      <w:start w:val="1"/>
      <w:numFmt w:val="decimal"/>
      <w:lvlText w:val="%1."/>
      <w:lvlJc w:val="left"/>
      <w:pPr>
        <w:ind w:left="720" w:hanging="360"/>
      </w:pPr>
      <w:rPr>
        <w:rFonts w:eastAsia="TT21o00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F1E81"/>
    <w:multiLevelType w:val="hybridMultilevel"/>
    <w:tmpl w:val="D42AC96C"/>
    <w:lvl w:ilvl="0" w:tplc="6D4A1D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13B1180"/>
    <w:multiLevelType w:val="hybridMultilevel"/>
    <w:tmpl w:val="117AB6F8"/>
    <w:lvl w:ilvl="0" w:tplc="8700933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51414E1"/>
    <w:multiLevelType w:val="hybridMultilevel"/>
    <w:tmpl w:val="72F6B0E0"/>
    <w:lvl w:ilvl="0" w:tplc="0750EAE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F195B"/>
    <w:multiLevelType w:val="multilevel"/>
    <w:tmpl w:val="E9D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492C44"/>
    <w:multiLevelType w:val="hybridMultilevel"/>
    <w:tmpl w:val="B3A6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17967"/>
    <w:multiLevelType w:val="hybridMultilevel"/>
    <w:tmpl w:val="3EC8041A"/>
    <w:lvl w:ilvl="0" w:tplc="6A5E1E42">
      <w:start w:val="2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8" w15:restartNumberingAfterBreak="0">
    <w:nsid w:val="661509CC"/>
    <w:multiLevelType w:val="hybridMultilevel"/>
    <w:tmpl w:val="3482D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45D4F"/>
    <w:multiLevelType w:val="multilevel"/>
    <w:tmpl w:val="B5807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53B17"/>
    <w:multiLevelType w:val="hybridMultilevel"/>
    <w:tmpl w:val="00365338"/>
    <w:lvl w:ilvl="0" w:tplc="AD74AC22">
      <w:start w:val="1"/>
      <w:numFmt w:val="upperRoman"/>
      <w:lvlText w:val="%1."/>
      <w:lvlJc w:val="left"/>
      <w:pPr>
        <w:ind w:left="720" w:hanging="360"/>
      </w:pPr>
      <w:rPr>
        <w:rFonts w:ascii="Arial" w:eastAsia="TT22o00" w:hAnsi="Arial" w:cs="Arial"/>
        <w:b/>
      </w:rPr>
    </w:lvl>
    <w:lvl w:ilvl="1" w:tplc="FDA42848">
      <w:start w:val="1"/>
      <w:numFmt w:val="decimal"/>
      <w:lvlText w:val="%2."/>
      <w:lvlJc w:val="left"/>
      <w:pPr>
        <w:ind w:left="1440" w:hanging="360"/>
      </w:pPr>
      <w:rPr>
        <w:rFonts w:ascii="Arial" w:eastAsia="TT22o00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50035"/>
    <w:multiLevelType w:val="hybridMultilevel"/>
    <w:tmpl w:val="F98AC6AC"/>
    <w:lvl w:ilvl="0" w:tplc="6124F8D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4C43F66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C3B04"/>
    <w:multiLevelType w:val="hybridMultilevel"/>
    <w:tmpl w:val="E92A850A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8319FF"/>
    <w:multiLevelType w:val="hybridMultilevel"/>
    <w:tmpl w:val="10BEA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20B71"/>
    <w:multiLevelType w:val="hybridMultilevel"/>
    <w:tmpl w:val="644AD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61435"/>
    <w:multiLevelType w:val="hybridMultilevel"/>
    <w:tmpl w:val="35160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D0C2B"/>
    <w:multiLevelType w:val="hybridMultilevel"/>
    <w:tmpl w:val="47BECEAA"/>
    <w:lvl w:ilvl="0" w:tplc="40AA0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528C2"/>
    <w:multiLevelType w:val="multilevel"/>
    <w:tmpl w:val="B44C45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C16A1A"/>
    <w:multiLevelType w:val="hybridMultilevel"/>
    <w:tmpl w:val="EF4A7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5"/>
  </w:num>
  <w:num w:numId="4">
    <w:abstractNumId w:val="35"/>
  </w:num>
  <w:num w:numId="5">
    <w:abstractNumId w:val="14"/>
  </w:num>
  <w:num w:numId="6">
    <w:abstractNumId w:val="16"/>
  </w:num>
  <w:num w:numId="7">
    <w:abstractNumId w:val="23"/>
  </w:num>
  <w:num w:numId="8">
    <w:abstractNumId w:val="19"/>
  </w:num>
  <w:num w:numId="9">
    <w:abstractNumId w:val="17"/>
  </w:num>
  <w:num w:numId="10">
    <w:abstractNumId w:val="36"/>
  </w:num>
  <w:num w:numId="11">
    <w:abstractNumId w:val="25"/>
  </w:num>
  <w:num w:numId="12">
    <w:abstractNumId w:val="20"/>
  </w:num>
  <w:num w:numId="13">
    <w:abstractNumId w:val="9"/>
  </w:num>
  <w:num w:numId="14">
    <w:abstractNumId w:val="10"/>
  </w:num>
  <w:num w:numId="15">
    <w:abstractNumId w:val="12"/>
  </w:num>
  <w:num w:numId="16">
    <w:abstractNumId w:val="4"/>
  </w:num>
  <w:num w:numId="17">
    <w:abstractNumId w:val="2"/>
  </w:num>
  <w:num w:numId="18">
    <w:abstractNumId w:val="33"/>
  </w:num>
  <w:num w:numId="19">
    <w:abstractNumId w:val="34"/>
  </w:num>
  <w:num w:numId="20">
    <w:abstractNumId w:val="28"/>
  </w:num>
  <w:num w:numId="21">
    <w:abstractNumId w:val="26"/>
  </w:num>
  <w:num w:numId="22">
    <w:abstractNumId w:val="29"/>
  </w:num>
  <w:num w:numId="23">
    <w:abstractNumId w:val="37"/>
  </w:num>
  <w:num w:numId="24">
    <w:abstractNumId w:val="7"/>
  </w:num>
  <w:num w:numId="25">
    <w:abstractNumId w:val="8"/>
  </w:num>
  <w:num w:numId="26">
    <w:abstractNumId w:val="13"/>
  </w:num>
  <w:num w:numId="27">
    <w:abstractNumId w:val="38"/>
  </w:num>
  <w:num w:numId="28">
    <w:abstractNumId w:val="30"/>
  </w:num>
  <w:num w:numId="29">
    <w:abstractNumId w:val="15"/>
  </w:num>
  <w:num w:numId="30">
    <w:abstractNumId w:val="11"/>
  </w:num>
  <w:num w:numId="31">
    <w:abstractNumId w:val="31"/>
  </w:num>
  <w:num w:numId="32">
    <w:abstractNumId w:val="1"/>
  </w:num>
  <w:num w:numId="33">
    <w:abstractNumId w:val="21"/>
  </w:num>
  <w:num w:numId="34">
    <w:abstractNumId w:val="6"/>
  </w:num>
  <w:num w:numId="35">
    <w:abstractNumId w:val="18"/>
  </w:num>
  <w:num w:numId="36">
    <w:abstractNumId w:val="0"/>
  </w:num>
  <w:num w:numId="37">
    <w:abstractNumId w:val="3"/>
  </w:num>
  <w:num w:numId="38">
    <w:abstractNumId w:val="2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04"/>
    <w:rsid w:val="000035BD"/>
    <w:rsid w:val="00004CFC"/>
    <w:rsid w:val="00004FA4"/>
    <w:rsid w:val="00027F20"/>
    <w:rsid w:val="00072855"/>
    <w:rsid w:val="00093148"/>
    <w:rsid w:val="00095980"/>
    <w:rsid w:val="000A1574"/>
    <w:rsid w:val="000D370B"/>
    <w:rsid w:val="00114A6B"/>
    <w:rsid w:val="00115E04"/>
    <w:rsid w:val="00121E51"/>
    <w:rsid w:val="00123CFC"/>
    <w:rsid w:val="001243B7"/>
    <w:rsid w:val="001320F2"/>
    <w:rsid w:val="00151952"/>
    <w:rsid w:val="00155F81"/>
    <w:rsid w:val="00180FED"/>
    <w:rsid w:val="00183447"/>
    <w:rsid w:val="001A45E5"/>
    <w:rsid w:val="001E73DA"/>
    <w:rsid w:val="00205C0B"/>
    <w:rsid w:val="0025163C"/>
    <w:rsid w:val="00253131"/>
    <w:rsid w:val="00256343"/>
    <w:rsid w:val="00265277"/>
    <w:rsid w:val="00285E9D"/>
    <w:rsid w:val="0029571D"/>
    <w:rsid w:val="002A0B20"/>
    <w:rsid w:val="002A10E0"/>
    <w:rsid w:val="002A1EFB"/>
    <w:rsid w:val="002B7DA9"/>
    <w:rsid w:val="002C31E7"/>
    <w:rsid w:val="002F61BD"/>
    <w:rsid w:val="00303DE0"/>
    <w:rsid w:val="003061AF"/>
    <w:rsid w:val="00310C98"/>
    <w:rsid w:val="0031624E"/>
    <w:rsid w:val="00317A96"/>
    <w:rsid w:val="00326C82"/>
    <w:rsid w:val="0034138E"/>
    <w:rsid w:val="00343D3F"/>
    <w:rsid w:val="003600C7"/>
    <w:rsid w:val="00362B10"/>
    <w:rsid w:val="003673F5"/>
    <w:rsid w:val="00372308"/>
    <w:rsid w:val="00384470"/>
    <w:rsid w:val="003A3826"/>
    <w:rsid w:val="003A3C13"/>
    <w:rsid w:val="003C2A4D"/>
    <w:rsid w:val="003D4A39"/>
    <w:rsid w:val="00403D64"/>
    <w:rsid w:val="00437391"/>
    <w:rsid w:val="0045535B"/>
    <w:rsid w:val="00455A29"/>
    <w:rsid w:val="004631EC"/>
    <w:rsid w:val="0049190A"/>
    <w:rsid w:val="004C728A"/>
    <w:rsid w:val="004E2EF5"/>
    <w:rsid w:val="00500C8B"/>
    <w:rsid w:val="00501D3A"/>
    <w:rsid w:val="00522E31"/>
    <w:rsid w:val="0053136A"/>
    <w:rsid w:val="00532404"/>
    <w:rsid w:val="00551CD9"/>
    <w:rsid w:val="00563F1A"/>
    <w:rsid w:val="00573B6F"/>
    <w:rsid w:val="00583437"/>
    <w:rsid w:val="005B2BB2"/>
    <w:rsid w:val="005E1A21"/>
    <w:rsid w:val="005E2B2E"/>
    <w:rsid w:val="005F0560"/>
    <w:rsid w:val="0062188E"/>
    <w:rsid w:val="00644FC7"/>
    <w:rsid w:val="00650654"/>
    <w:rsid w:val="006767A2"/>
    <w:rsid w:val="006878DE"/>
    <w:rsid w:val="006A35DC"/>
    <w:rsid w:val="006B3FDB"/>
    <w:rsid w:val="006C1DD6"/>
    <w:rsid w:val="006C2F36"/>
    <w:rsid w:val="006C4CAC"/>
    <w:rsid w:val="006C513A"/>
    <w:rsid w:val="006D614B"/>
    <w:rsid w:val="00706227"/>
    <w:rsid w:val="00716164"/>
    <w:rsid w:val="007179A6"/>
    <w:rsid w:val="007438BF"/>
    <w:rsid w:val="00746CF1"/>
    <w:rsid w:val="00747D1C"/>
    <w:rsid w:val="007541CD"/>
    <w:rsid w:val="00783A07"/>
    <w:rsid w:val="00786D1A"/>
    <w:rsid w:val="00796AAA"/>
    <w:rsid w:val="007A16A5"/>
    <w:rsid w:val="007A3385"/>
    <w:rsid w:val="007A3EE3"/>
    <w:rsid w:val="007C318E"/>
    <w:rsid w:val="007D2773"/>
    <w:rsid w:val="008114F1"/>
    <w:rsid w:val="008132AD"/>
    <w:rsid w:val="0083147B"/>
    <w:rsid w:val="00837D0C"/>
    <w:rsid w:val="008511C5"/>
    <w:rsid w:val="008722DF"/>
    <w:rsid w:val="00872915"/>
    <w:rsid w:val="00872DB0"/>
    <w:rsid w:val="008918C8"/>
    <w:rsid w:val="00892EF6"/>
    <w:rsid w:val="008976BF"/>
    <w:rsid w:val="008F7BC6"/>
    <w:rsid w:val="00902995"/>
    <w:rsid w:val="00914090"/>
    <w:rsid w:val="00914AC5"/>
    <w:rsid w:val="00917ADE"/>
    <w:rsid w:val="00921140"/>
    <w:rsid w:val="00930AF7"/>
    <w:rsid w:val="009520F6"/>
    <w:rsid w:val="00973599"/>
    <w:rsid w:val="009C03A8"/>
    <w:rsid w:val="009D4FE9"/>
    <w:rsid w:val="009E4CEC"/>
    <w:rsid w:val="00A00181"/>
    <w:rsid w:val="00A047B5"/>
    <w:rsid w:val="00A70B0D"/>
    <w:rsid w:val="00A83B93"/>
    <w:rsid w:val="00A95A92"/>
    <w:rsid w:val="00A97613"/>
    <w:rsid w:val="00AD339C"/>
    <w:rsid w:val="00AF5EAF"/>
    <w:rsid w:val="00AF7404"/>
    <w:rsid w:val="00B369B1"/>
    <w:rsid w:val="00B6303B"/>
    <w:rsid w:val="00B6541E"/>
    <w:rsid w:val="00B70A8D"/>
    <w:rsid w:val="00B748FF"/>
    <w:rsid w:val="00B74F77"/>
    <w:rsid w:val="00B80472"/>
    <w:rsid w:val="00B92AB6"/>
    <w:rsid w:val="00C038EF"/>
    <w:rsid w:val="00C06FC8"/>
    <w:rsid w:val="00C1732E"/>
    <w:rsid w:val="00C4176C"/>
    <w:rsid w:val="00C44B6B"/>
    <w:rsid w:val="00C4742B"/>
    <w:rsid w:val="00C8635A"/>
    <w:rsid w:val="00CA45FF"/>
    <w:rsid w:val="00CA62B0"/>
    <w:rsid w:val="00CC7DCB"/>
    <w:rsid w:val="00D00F56"/>
    <w:rsid w:val="00D02C01"/>
    <w:rsid w:val="00D06627"/>
    <w:rsid w:val="00D07E40"/>
    <w:rsid w:val="00D50220"/>
    <w:rsid w:val="00D540A3"/>
    <w:rsid w:val="00D54A45"/>
    <w:rsid w:val="00D54AF5"/>
    <w:rsid w:val="00D57871"/>
    <w:rsid w:val="00D62EDA"/>
    <w:rsid w:val="00D6536A"/>
    <w:rsid w:val="00D665E5"/>
    <w:rsid w:val="00D72728"/>
    <w:rsid w:val="00D75380"/>
    <w:rsid w:val="00D84962"/>
    <w:rsid w:val="00D87B2B"/>
    <w:rsid w:val="00D9752F"/>
    <w:rsid w:val="00DD0E93"/>
    <w:rsid w:val="00DF091A"/>
    <w:rsid w:val="00DF3B19"/>
    <w:rsid w:val="00DF6101"/>
    <w:rsid w:val="00DF7061"/>
    <w:rsid w:val="00E15D1D"/>
    <w:rsid w:val="00E245FD"/>
    <w:rsid w:val="00E32961"/>
    <w:rsid w:val="00E52790"/>
    <w:rsid w:val="00E73133"/>
    <w:rsid w:val="00E93625"/>
    <w:rsid w:val="00E96FC7"/>
    <w:rsid w:val="00EA25EF"/>
    <w:rsid w:val="00EB4F93"/>
    <w:rsid w:val="00EE0FFB"/>
    <w:rsid w:val="00EE3F53"/>
    <w:rsid w:val="00EE4A16"/>
    <w:rsid w:val="00EE56AB"/>
    <w:rsid w:val="00F06F9A"/>
    <w:rsid w:val="00F15075"/>
    <w:rsid w:val="00F24C68"/>
    <w:rsid w:val="00F30482"/>
    <w:rsid w:val="00F30FAE"/>
    <w:rsid w:val="00F3638F"/>
    <w:rsid w:val="00F51C5D"/>
    <w:rsid w:val="00F542E3"/>
    <w:rsid w:val="00F62327"/>
    <w:rsid w:val="00F6413C"/>
    <w:rsid w:val="00F67580"/>
    <w:rsid w:val="00F745FC"/>
    <w:rsid w:val="00F81ED6"/>
    <w:rsid w:val="00F94BA0"/>
    <w:rsid w:val="00F95A4C"/>
    <w:rsid w:val="00FB10CE"/>
    <w:rsid w:val="00FB38C8"/>
    <w:rsid w:val="00FB6F66"/>
    <w:rsid w:val="00FC326B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BB74E"/>
  <w14:defaultImageDpi w14:val="300"/>
  <w15:docId w15:val="{9D6FD067-A0AE-4FF5-952B-99FCECB2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A8D"/>
  </w:style>
  <w:style w:type="paragraph" w:styleId="Nagwek1">
    <w:name w:val="heading 1"/>
    <w:basedOn w:val="Normalny"/>
    <w:next w:val="Normalny"/>
    <w:link w:val="Nagwek1Znak"/>
    <w:qFormat/>
    <w:rsid w:val="00583437"/>
    <w:pPr>
      <w:keepNext/>
      <w:jc w:val="both"/>
      <w:outlineLvl w:val="0"/>
    </w:pPr>
    <w:rPr>
      <w:rFonts w:ascii="Times New Roman" w:eastAsia="Times New Roman" w:hAnsi="Times New Roman" w:cs="Times New Roman"/>
      <w:b/>
      <w:sz w:val="22"/>
      <w:szCs w:val="20"/>
      <w:u w:val="single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1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851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32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32404"/>
  </w:style>
  <w:style w:type="paragraph" w:styleId="Stopka">
    <w:name w:val="footer"/>
    <w:basedOn w:val="Normalny"/>
    <w:link w:val="StopkaZnak"/>
    <w:uiPriority w:val="99"/>
    <w:unhideWhenUsed/>
    <w:rsid w:val="00532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404"/>
  </w:style>
  <w:style w:type="paragraph" w:styleId="Tekstdymka">
    <w:name w:val="Balloon Text"/>
    <w:basedOn w:val="Normalny"/>
    <w:link w:val="TekstdymkaZnak"/>
    <w:uiPriority w:val="99"/>
    <w:semiHidden/>
    <w:unhideWhenUsed/>
    <w:rsid w:val="0053240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04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370B"/>
    <w:rPr>
      <w:color w:val="0000FF" w:themeColor="hyperlink"/>
      <w:u w:val="single"/>
    </w:rPr>
  </w:style>
  <w:style w:type="paragraph" w:customStyle="1" w:styleId="Default">
    <w:name w:val="Default"/>
    <w:rsid w:val="00C44B6B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Akapitzlist">
    <w:name w:val="List Paragraph"/>
    <w:aliases w:val="sw tekst,ISCG Numerowanie,lp1"/>
    <w:basedOn w:val="Normalny"/>
    <w:link w:val="AkapitzlistZnak"/>
    <w:uiPriority w:val="99"/>
    <w:qFormat/>
    <w:rsid w:val="00796AA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A45E5"/>
    <w:rPr>
      <w:b/>
      <w:bCs/>
    </w:rPr>
  </w:style>
  <w:style w:type="paragraph" w:styleId="NormalnyWeb">
    <w:name w:val="Normal (Web)"/>
    <w:basedOn w:val="Normalny"/>
    <w:unhideWhenUsed/>
    <w:rsid w:val="001A45E5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  <w:lang w:val="pl-PL"/>
    </w:rPr>
  </w:style>
  <w:style w:type="table" w:styleId="Tabela-Siatka">
    <w:name w:val="Table Grid"/>
    <w:basedOn w:val="Standardowy"/>
    <w:uiPriority w:val="39"/>
    <w:rsid w:val="00E1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957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571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4A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4A6B"/>
  </w:style>
  <w:style w:type="character" w:customStyle="1" w:styleId="Nagwek1Znak">
    <w:name w:val="Nagłówek 1 Znak"/>
    <w:basedOn w:val="Domylnaczcionkaakapitu"/>
    <w:link w:val="Nagwek1"/>
    <w:rsid w:val="00583437"/>
    <w:rPr>
      <w:rFonts w:ascii="Times New Roman" w:eastAsia="Times New Roman" w:hAnsi="Times New Roman" w:cs="Times New Roman"/>
      <w:b/>
      <w:sz w:val="22"/>
      <w:szCs w:val="20"/>
      <w:u w:val="single"/>
      <w:lang w:val="pl-PL"/>
    </w:rPr>
  </w:style>
  <w:style w:type="paragraph" w:styleId="Tekstpodstawowywcity">
    <w:name w:val="Body Text Indent"/>
    <w:basedOn w:val="Normalny"/>
    <w:link w:val="TekstpodstawowywcityZnak"/>
    <w:rsid w:val="00583437"/>
    <w:pPr>
      <w:spacing w:after="120"/>
      <w:ind w:left="283"/>
    </w:pPr>
    <w:rPr>
      <w:rFonts w:ascii="Times New Roman" w:eastAsia="Times New Roman" w:hAnsi="Times New Roman" w:cs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3437"/>
    <w:rPr>
      <w:rFonts w:ascii="Times New Roman" w:eastAsia="Times New Roman" w:hAnsi="Times New Roman" w:cs="Times New Roman"/>
      <w:lang w:val="pl-PL"/>
    </w:rPr>
  </w:style>
  <w:style w:type="paragraph" w:styleId="Lista2">
    <w:name w:val="List 2"/>
    <w:basedOn w:val="Normalny"/>
    <w:rsid w:val="00583437"/>
    <w:pPr>
      <w:ind w:left="566" w:hanging="283"/>
    </w:pPr>
    <w:rPr>
      <w:rFonts w:ascii="Times New Roman" w:eastAsia="Times New Roman" w:hAnsi="Times New Roman" w:cs="Times New Roman"/>
      <w:lang w:val="pl-PL"/>
    </w:rPr>
  </w:style>
  <w:style w:type="character" w:customStyle="1" w:styleId="Nagwek6Znak">
    <w:name w:val="Nagłówek 6 Znak"/>
    <w:basedOn w:val="Domylnaczcionkaakapitu"/>
    <w:link w:val="Nagwek6"/>
    <w:rsid w:val="00851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1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uiPriority w:val="99"/>
    <w:rsid w:val="00851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511C5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18"/>
      <w:lang w:val="pl-PL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11C5"/>
    <w:rPr>
      <w:rFonts w:ascii="Times New Roman" w:eastAsia="SimSun" w:hAnsi="Times New Roman" w:cs="Mangal"/>
      <w:kern w:val="1"/>
      <w:sz w:val="20"/>
      <w:szCs w:val="18"/>
      <w:lang w:val="pl-PL" w:eastAsia="hi-IN" w:bidi="hi-IN"/>
    </w:rPr>
  </w:style>
  <w:style w:type="paragraph" w:customStyle="1" w:styleId="Bezodstpw1">
    <w:name w:val="Bez odstępów1"/>
    <w:rsid w:val="008511C5"/>
    <w:rPr>
      <w:rFonts w:ascii="Calibri" w:eastAsia="Times New Roman" w:hAnsi="Calibri" w:cs="Times New Roman"/>
      <w:sz w:val="22"/>
      <w:szCs w:val="22"/>
      <w:lang w:val="pl-PL" w:eastAsia="en-US"/>
    </w:rPr>
  </w:style>
  <w:style w:type="character" w:customStyle="1" w:styleId="apple-converted-space">
    <w:name w:val="apple-converted-space"/>
    <w:basedOn w:val="Domylnaczcionkaakapitu"/>
    <w:rsid w:val="008511C5"/>
  </w:style>
  <w:style w:type="character" w:styleId="Uwydatnienie">
    <w:name w:val="Emphasis"/>
    <w:basedOn w:val="Domylnaczcionkaakapitu"/>
    <w:qFormat/>
    <w:rsid w:val="008511C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1C5"/>
    <w:pPr>
      <w:widowControl/>
      <w:suppressAutoHyphens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1C5"/>
    <w:rPr>
      <w:rFonts w:ascii="Times New Roman" w:eastAsia="Times New Roman" w:hAnsi="Times New Roman" w:cs="Times New Roman"/>
      <w:b/>
      <w:bCs/>
      <w:kern w:val="1"/>
      <w:sz w:val="20"/>
      <w:szCs w:val="20"/>
      <w:lang w:val="pl-PL" w:eastAsia="hi-I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8511C5"/>
    <w:rPr>
      <w:rFonts w:ascii="Calibri" w:eastAsiaTheme="minorHAnsi" w:hAnsi="Calibri"/>
      <w:sz w:val="22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511C5"/>
    <w:rPr>
      <w:rFonts w:ascii="Calibri" w:eastAsiaTheme="minorHAnsi" w:hAnsi="Calibri"/>
      <w:sz w:val="22"/>
      <w:szCs w:val="21"/>
      <w:lang w:val="pl-PL" w:eastAsia="en-US"/>
    </w:rPr>
  </w:style>
  <w:style w:type="paragraph" w:customStyle="1" w:styleId="prdtxtattribute">
    <w:name w:val="prd_txt_attribute"/>
    <w:basedOn w:val="Normalny"/>
    <w:rsid w:val="008511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prdtxtattributename3">
    <w:name w:val="prd_txt_attribute_name3"/>
    <w:basedOn w:val="Domylnaczcionkaakapitu"/>
    <w:rsid w:val="008511C5"/>
  </w:style>
  <w:style w:type="character" w:customStyle="1" w:styleId="Wyrnienieintensywne1">
    <w:name w:val="Wyróżnienie intensywne1"/>
    <w:rsid w:val="00F94BA0"/>
    <w:rPr>
      <w:rFonts w:ascii="Calibri Light" w:hAnsi="Calibri Light"/>
      <w:sz w:val="22"/>
    </w:rPr>
  </w:style>
  <w:style w:type="character" w:customStyle="1" w:styleId="Wyrnienieintensywne2">
    <w:name w:val="Wyróżnienie intensywne2"/>
    <w:rsid w:val="00004FA4"/>
    <w:rPr>
      <w:rFonts w:ascii="Calibri Light" w:hAnsi="Calibri Light"/>
      <w:sz w:val="22"/>
    </w:rPr>
  </w:style>
  <w:style w:type="table" w:customStyle="1" w:styleId="Tabela-Siatka1">
    <w:name w:val="Tabela - Siatka1"/>
    <w:basedOn w:val="Standardowy"/>
    <w:next w:val="Tabela-Siatka"/>
    <w:uiPriority w:val="39"/>
    <w:rsid w:val="00D9752F"/>
    <w:rPr>
      <w:rFonts w:eastAsiaTheme="minorHAnsi"/>
      <w:sz w:val="22"/>
      <w:szCs w:val="22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"/>
    <w:link w:val="Akapitzlist"/>
    <w:uiPriority w:val="99"/>
    <w:rsid w:val="006C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kurczak@muzeumwarszawy.pl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cprezentacji.pl/pic/Wozek-do-ekranu-LEDLCD-TR1-TR1S-_bp14624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bcprezentacji.pl/pic/Monitor-interaktywny-BenQ-RP553K-55-_bp19107.j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usz.kurczak@muzeumwarszawy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C8B9C0-052B-4568-BBD4-38E14509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MHW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MHW</dc:creator>
  <cp:keywords/>
  <dc:description/>
  <cp:lastModifiedBy>janusz.kurczak</cp:lastModifiedBy>
  <cp:revision>12</cp:revision>
  <cp:lastPrinted>2018-04-10T12:52:00Z</cp:lastPrinted>
  <dcterms:created xsi:type="dcterms:W3CDTF">2018-08-02T06:47:00Z</dcterms:created>
  <dcterms:modified xsi:type="dcterms:W3CDTF">2018-08-16T12:52:00Z</dcterms:modified>
</cp:coreProperties>
</file>