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554" w:rsidRDefault="005A6554" w:rsidP="005A6554">
      <w:pPr>
        <w:jc w:val="center"/>
        <w:rPr>
          <w:b/>
          <w:sz w:val="32"/>
        </w:rPr>
      </w:pPr>
      <w:r>
        <w:rPr>
          <w:b/>
        </w:rPr>
        <w:t>Odpowiedzi na pytania Wykonawców.</w:t>
      </w:r>
    </w:p>
    <w:p w:rsidR="005A6554" w:rsidRDefault="005A6554" w:rsidP="005A6554">
      <w:pPr>
        <w:jc w:val="both"/>
      </w:pPr>
    </w:p>
    <w:p w:rsidR="005A6554" w:rsidRDefault="005A6554" w:rsidP="005A6554">
      <w:pPr>
        <w:jc w:val="both"/>
        <w:rPr>
          <w:sz w:val="22"/>
        </w:rPr>
      </w:pPr>
      <w:r>
        <w:rPr>
          <w:sz w:val="22"/>
        </w:rPr>
        <w:t>Sygnatura postępowania: Zapytanie Nr 1293 / 2018</w:t>
      </w:r>
    </w:p>
    <w:p w:rsidR="005A6554" w:rsidRDefault="005A6554" w:rsidP="005A6554">
      <w:pPr>
        <w:jc w:val="both"/>
        <w:rPr>
          <w:sz w:val="22"/>
        </w:rPr>
      </w:pPr>
    </w:p>
    <w:p w:rsidR="005A6554" w:rsidRPr="00572488" w:rsidRDefault="005A6554" w:rsidP="00572488">
      <w:pPr>
        <w:jc w:val="both"/>
        <w:rPr>
          <w:sz w:val="22"/>
        </w:rPr>
      </w:pPr>
      <w:r>
        <w:rPr>
          <w:sz w:val="22"/>
        </w:rPr>
        <w:t xml:space="preserve">dot. Postępowania w trybie zapytania ofertowego na „Konserwację systemu audio- </w:t>
      </w:r>
      <w:proofErr w:type="gramStart"/>
      <w:r>
        <w:rPr>
          <w:sz w:val="22"/>
        </w:rPr>
        <w:t>wizualnego   w</w:t>
      </w:r>
      <w:proofErr w:type="gramEnd"/>
      <w:r>
        <w:rPr>
          <w:sz w:val="22"/>
        </w:rPr>
        <w:t xml:space="preserve"> Muzeum Warszawy i jego Oddziałach”</w:t>
      </w:r>
    </w:p>
    <w:p w:rsidR="005A6554" w:rsidRDefault="005A6554" w:rsidP="00572488">
      <w:pPr>
        <w:spacing w:line="276" w:lineRule="auto"/>
        <w:jc w:val="both"/>
        <w:rPr>
          <w:sz w:val="28"/>
        </w:rPr>
      </w:pPr>
      <w:bookmarkStart w:id="0" w:name="_GoBack"/>
      <w:bookmarkEnd w:id="0"/>
    </w:p>
    <w:p w:rsidR="005A6554" w:rsidRDefault="005A6554" w:rsidP="005A6554">
      <w:pPr>
        <w:pStyle w:val="Akapitzlist"/>
        <w:numPr>
          <w:ilvl w:val="0"/>
          <w:numId w:val="1"/>
        </w:numPr>
        <w:ind w:left="426" w:hanging="426"/>
        <w:jc w:val="both"/>
      </w:pPr>
      <w:r>
        <w:t>Prosimy o wyjaśnienie, czy koszt jednego przeglądu (sumarycznie czterech w roku) ma uwzględniać wszystkie urządzenia i lokalizacje opisane w załączniku nr 1 do zapytania?</w:t>
      </w:r>
    </w:p>
    <w:p w:rsidR="005A6554" w:rsidRDefault="005A6554" w:rsidP="005A6554">
      <w:pPr>
        <w:pStyle w:val="Akapitzlist"/>
        <w:ind w:left="426"/>
        <w:jc w:val="both"/>
        <w:rPr>
          <w:b/>
          <w:color w:val="8496B0" w:themeColor="text2" w:themeTint="99"/>
        </w:rPr>
      </w:pPr>
      <w:proofErr w:type="spellStart"/>
      <w:r>
        <w:rPr>
          <w:b/>
          <w:color w:val="8496B0" w:themeColor="text2" w:themeTint="99"/>
        </w:rPr>
        <w:t>Odp</w:t>
      </w:r>
      <w:proofErr w:type="spellEnd"/>
      <w:r>
        <w:rPr>
          <w:b/>
          <w:color w:val="8496B0" w:themeColor="text2" w:themeTint="99"/>
        </w:rPr>
        <w:t>: TAK.</w:t>
      </w:r>
    </w:p>
    <w:p w:rsidR="005A6554" w:rsidRDefault="005A6554" w:rsidP="005A6554">
      <w:pPr>
        <w:pStyle w:val="Akapitzlist"/>
        <w:numPr>
          <w:ilvl w:val="0"/>
          <w:numId w:val="1"/>
        </w:numPr>
        <w:ind w:left="426" w:hanging="426"/>
        <w:jc w:val="both"/>
      </w:pPr>
      <w:r>
        <w:t>Zamawiający w opisie przedmiotu zamówienia wskazuje 9 lokalizacji objętych zapytaniem, zaś wykaz urządzeń w załączniku nr 1 obejmuje jedynie 5 lokalizacji. Czego mają dotyczyć przeglądy w pozostałych 4 lokalizacjach?</w:t>
      </w:r>
    </w:p>
    <w:p w:rsidR="005A6554" w:rsidRDefault="005A6554" w:rsidP="005A6554">
      <w:pPr>
        <w:pStyle w:val="Akapitzlist"/>
        <w:ind w:left="426"/>
        <w:jc w:val="both"/>
        <w:rPr>
          <w:color w:val="8496B0" w:themeColor="text2" w:themeTint="99"/>
        </w:rPr>
      </w:pPr>
      <w:proofErr w:type="spellStart"/>
      <w:r>
        <w:t>Odp</w:t>
      </w:r>
      <w:proofErr w:type="spellEnd"/>
      <w:r>
        <w:t xml:space="preserve">: </w:t>
      </w:r>
      <w:r>
        <w:rPr>
          <w:color w:val="8496B0" w:themeColor="text2" w:themeTint="99"/>
        </w:rPr>
        <w:t>Załącznik nr 1 obejmuje 4 lokalizacje nie 5ęć. Przeglądy dotyczą tych 4ech lokalizacji.</w:t>
      </w:r>
    </w:p>
    <w:p w:rsidR="005A6554" w:rsidRDefault="005A6554" w:rsidP="005A6554">
      <w:pPr>
        <w:pStyle w:val="Akapitzlist"/>
        <w:ind w:left="426"/>
        <w:jc w:val="both"/>
        <w:rPr>
          <w:color w:val="8496B0" w:themeColor="text2" w:themeTint="99"/>
        </w:rPr>
      </w:pPr>
      <w:r>
        <w:rPr>
          <w:color w:val="8496B0" w:themeColor="text2" w:themeTint="99"/>
        </w:rPr>
        <w:t xml:space="preserve">          Przeglądy w pozostałych 5ciu lokalizacjach jak napisano w zapytaniu ofertowym: może  </w:t>
      </w:r>
    </w:p>
    <w:p w:rsidR="005A6554" w:rsidRDefault="005A6554" w:rsidP="005A6554">
      <w:pPr>
        <w:pStyle w:val="Akapitzlist"/>
        <w:ind w:left="426"/>
        <w:jc w:val="both"/>
        <w:rPr>
          <w:color w:val="8496B0" w:themeColor="text2" w:themeTint="99"/>
        </w:rPr>
      </w:pPr>
      <w:r>
        <w:rPr>
          <w:color w:val="8496B0" w:themeColor="text2" w:themeTint="99"/>
        </w:rPr>
        <w:t xml:space="preserve">          </w:t>
      </w:r>
      <w:proofErr w:type="gramStart"/>
      <w:r>
        <w:rPr>
          <w:color w:val="8496B0" w:themeColor="text2" w:themeTint="99"/>
        </w:rPr>
        <w:t>znajdować</w:t>
      </w:r>
      <w:proofErr w:type="gramEnd"/>
      <w:r>
        <w:rPr>
          <w:color w:val="8496B0" w:themeColor="text2" w:themeTint="99"/>
        </w:rPr>
        <w:t xml:space="preserve"> się sprzęt mobilny czyli, nie znajdujący się stale na wyposażeniu danej </w:t>
      </w:r>
    </w:p>
    <w:p w:rsidR="005A6554" w:rsidRDefault="005A6554" w:rsidP="005A6554">
      <w:pPr>
        <w:pStyle w:val="Akapitzlist"/>
        <w:ind w:left="426"/>
        <w:jc w:val="both"/>
        <w:rPr>
          <w:color w:val="8496B0" w:themeColor="text2" w:themeTint="99"/>
        </w:rPr>
      </w:pPr>
      <w:r>
        <w:rPr>
          <w:color w:val="8496B0" w:themeColor="text2" w:themeTint="99"/>
        </w:rPr>
        <w:t xml:space="preserve">          </w:t>
      </w:r>
      <w:proofErr w:type="gramStart"/>
      <w:r>
        <w:rPr>
          <w:color w:val="8496B0" w:themeColor="text2" w:themeTint="99"/>
        </w:rPr>
        <w:t>lokalizacji</w:t>
      </w:r>
      <w:proofErr w:type="gramEnd"/>
      <w:r>
        <w:rPr>
          <w:color w:val="8496B0" w:themeColor="text2" w:themeTint="99"/>
        </w:rPr>
        <w:t>.</w:t>
      </w:r>
    </w:p>
    <w:p w:rsidR="005A6554" w:rsidRDefault="005A6554" w:rsidP="005A6554">
      <w:pPr>
        <w:pStyle w:val="Akapitzlist"/>
        <w:numPr>
          <w:ilvl w:val="0"/>
          <w:numId w:val="1"/>
        </w:numPr>
        <w:ind w:left="426" w:hanging="426"/>
        <w:jc w:val="both"/>
      </w:pPr>
      <w:r>
        <w:t>Prosimy o wyjaśnienie, czy elementy opisane w załączniku nr 1, będą objęte gwarancją producenta (wykonawcy istniejącego systemu) w trakcie realizacji niniejszego zamówienia? Jeśli tak, czy wykonawca niniejszego Zamówienia będzie zmuszony przejąć zobowiązania gwarancyjne?</w:t>
      </w:r>
    </w:p>
    <w:p w:rsidR="005A6554" w:rsidRDefault="005A6554" w:rsidP="005A6554">
      <w:pPr>
        <w:pStyle w:val="Akapitzlist"/>
        <w:ind w:left="426"/>
        <w:jc w:val="both"/>
        <w:rPr>
          <w:color w:val="8496B0" w:themeColor="text2" w:themeTint="99"/>
        </w:rPr>
      </w:pPr>
      <w:proofErr w:type="spellStart"/>
      <w:r>
        <w:rPr>
          <w:color w:val="8496B0" w:themeColor="text2" w:themeTint="99"/>
        </w:rPr>
        <w:t>Odp</w:t>
      </w:r>
      <w:proofErr w:type="spellEnd"/>
      <w:r>
        <w:rPr>
          <w:color w:val="8496B0" w:themeColor="text2" w:themeTint="99"/>
        </w:rPr>
        <w:t>: NIE.</w:t>
      </w:r>
    </w:p>
    <w:p w:rsidR="005A6554" w:rsidRDefault="005A6554" w:rsidP="005A6554">
      <w:pPr>
        <w:pStyle w:val="Akapitzlist"/>
        <w:numPr>
          <w:ilvl w:val="0"/>
          <w:numId w:val="1"/>
        </w:numPr>
        <w:ind w:left="426" w:hanging="426"/>
        <w:jc w:val="both"/>
      </w:pPr>
      <w:r>
        <w:t>Formularz ofertowy. Zamawiający wymaga wskazania prac, usług lub dostaw podobnych do niniejszego zamówienia, nie wskazując żadnych minimalnych wymogów odnośnie ilości prac, ich kwot oraz okresu w jakim miałyby być realizowane. Oświadczenie to nie jest również kryterium oceny ofert. Prosimy o wyjaśnienie, czy tabelę wykonawca ma wypełnić wedle własnego uznania?</w:t>
      </w:r>
    </w:p>
    <w:p w:rsidR="005A6554" w:rsidRDefault="005A6554" w:rsidP="005A6554">
      <w:pPr>
        <w:pStyle w:val="Akapitzlist"/>
        <w:ind w:left="426"/>
        <w:jc w:val="both"/>
        <w:rPr>
          <w:color w:val="8496B0" w:themeColor="text2" w:themeTint="99"/>
        </w:rPr>
      </w:pPr>
      <w:proofErr w:type="spellStart"/>
      <w:r>
        <w:rPr>
          <w:color w:val="8496B0" w:themeColor="text2" w:themeTint="99"/>
        </w:rPr>
        <w:t>Odp</w:t>
      </w:r>
      <w:proofErr w:type="spellEnd"/>
      <w:r>
        <w:rPr>
          <w:color w:val="8496B0" w:themeColor="text2" w:themeTint="99"/>
        </w:rPr>
        <w:t>: TAK.</w:t>
      </w:r>
    </w:p>
    <w:p w:rsidR="005A6554" w:rsidRDefault="005A6554" w:rsidP="005A6554">
      <w:pPr>
        <w:pStyle w:val="Akapitzlist"/>
        <w:numPr>
          <w:ilvl w:val="0"/>
          <w:numId w:val="1"/>
        </w:numPr>
        <w:ind w:left="426" w:hanging="426"/>
        <w:jc w:val="both"/>
      </w:pPr>
      <w:r>
        <w:t>Część otwarta umowy. Tabela. Pkt. 4 Prowadzenie magazynu.</w:t>
      </w:r>
    </w:p>
    <w:p w:rsidR="005A6554" w:rsidRDefault="005A6554" w:rsidP="005A6554">
      <w:pPr>
        <w:pStyle w:val="Akapitzlist"/>
        <w:numPr>
          <w:ilvl w:val="0"/>
          <w:numId w:val="2"/>
        </w:numPr>
        <w:jc w:val="both"/>
      </w:pPr>
      <w:proofErr w:type="gramStart"/>
      <w:r>
        <w:t>czy</w:t>
      </w:r>
      <w:proofErr w:type="gramEnd"/>
      <w:r>
        <w:t xml:space="preserve"> w wycenie należy uwzględniać koszty materiałów eksploatacyjnych? </w:t>
      </w:r>
    </w:p>
    <w:p w:rsidR="005A6554" w:rsidRDefault="005A6554" w:rsidP="005A6554">
      <w:pPr>
        <w:pStyle w:val="Akapitzlist"/>
        <w:ind w:left="786"/>
        <w:jc w:val="both"/>
        <w:rPr>
          <w:color w:val="8496B0" w:themeColor="text2" w:themeTint="99"/>
        </w:rPr>
      </w:pPr>
      <w:proofErr w:type="spellStart"/>
      <w:r>
        <w:rPr>
          <w:color w:val="8496B0" w:themeColor="text2" w:themeTint="99"/>
        </w:rPr>
        <w:t>Odp</w:t>
      </w:r>
      <w:proofErr w:type="spellEnd"/>
      <w:r>
        <w:rPr>
          <w:color w:val="8496B0" w:themeColor="text2" w:themeTint="99"/>
        </w:rPr>
        <w:t>: NIE.</w:t>
      </w:r>
    </w:p>
    <w:p w:rsidR="005A6554" w:rsidRDefault="005A6554" w:rsidP="005A6554">
      <w:pPr>
        <w:pStyle w:val="Akapitzlist"/>
        <w:numPr>
          <w:ilvl w:val="0"/>
          <w:numId w:val="2"/>
        </w:numPr>
        <w:jc w:val="both"/>
      </w:pPr>
      <w:r>
        <w:t xml:space="preserve">Jaką (chociaż orientacyjnie) ilość materiałów do magazynowania przewiduje Zamawiający? Pytanie istotne ze względu na konieczność rezerwacji przestrzeń. Część otwarta umowy. </w:t>
      </w:r>
    </w:p>
    <w:p w:rsidR="005A6554" w:rsidRDefault="005A6554" w:rsidP="005A6554">
      <w:pPr>
        <w:pStyle w:val="Akapitzlist"/>
        <w:ind w:left="786"/>
        <w:jc w:val="both"/>
      </w:pPr>
      <w:proofErr w:type="spellStart"/>
      <w:r>
        <w:t>Odp</w:t>
      </w:r>
      <w:proofErr w:type="spellEnd"/>
      <w:r>
        <w:t xml:space="preserve">: </w:t>
      </w:r>
      <w:r>
        <w:rPr>
          <w:color w:val="8496B0" w:themeColor="text2" w:themeTint="99"/>
        </w:rPr>
        <w:t>Pełna dowolność, przyjmijmy nie mniej niż powierzchnia magazynowa: 30m2.</w:t>
      </w:r>
    </w:p>
    <w:p w:rsidR="005A6554" w:rsidRDefault="005A6554" w:rsidP="005A6554">
      <w:pPr>
        <w:pStyle w:val="Akapitzlist"/>
        <w:numPr>
          <w:ilvl w:val="0"/>
          <w:numId w:val="1"/>
        </w:numPr>
        <w:ind w:left="426" w:hanging="426"/>
        <w:jc w:val="both"/>
      </w:pPr>
      <w:r>
        <w:t>Tabela. Pkt. 6 Koszt lamp. Prosimy o potwierdzenie, że należy wycenić koszt samej dostawy 1 szt. każdej lampy (bez montażu itp.).</w:t>
      </w:r>
    </w:p>
    <w:p w:rsidR="005A6554" w:rsidRDefault="005A6554" w:rsidP="005A6554">
      <w:pPr>
        <w:pStyle w:val="Akapitzlist"/>
        <w:ind w:left="426"/>
        <w:jc w:val="both"/>
        <w:rPr>
          <w:color w:val="8496B0" w:themeColor="text2" w:themeTint="99"/>
        </w:rPr>
      </w:pPr>
      <w:proofErr w:type="spellStart"/>
      <w:r>
        <w:rPr>
          <w:color w:val="8496B0" w:themeColor="text2" w:themeTint="99"/>
        </w:rPr>
        <w:t>Odp</w:t>
      </w:r>
      <w:proofErr w:type="spellEnd"/>
      <w:r>
        <w:rPr>
          <w:color w:val="8496B0" w:themeColor="text2" w:themeTint="99"/>
        </w:rPr>
        <w:t>: TAK.</w:t>
      </w:r>
    </w:p>
    <w:p w:rsidR="005A6554" w:rsidRDefault="005A6554" w:rsidP="005A6554">
      <w:pPr>
        <w:pStyle w:val="Akapitzlist"/>
        <w:numPr>
          <w:ilvl w:val="0"/>
          <w:numId w:val="1"/>
        </w:numPr>
        <w:ind w:left="426" w:hanging="426"/>
        <w:jc w:val="both"/>
      </w:pPr>
      <w:r>
        <w:t>Tabela. Pkt. 7 Czas reakcji.</w:t>
      </w:r>
    </w:p>
    <w:p w:rsidR="005A6554" w:rsidRDefault="005A6554" w:rsidP="005A6554">
      <w:pPr>
        <w:pStyle w:val="Akapitzlist"/>
        <w:numPr>
          <w:ilvl w:val="0"/>
          <w:numId w:val="3"/>
        </w:numPr>
        <w:jc w:val="both"/>
      </w:pPr>
      <w:r>
        <w:t>Prosimy o potwierdzenie, że w tabeli jest błąd i zamiast „….</w:t>
      </w:r>
      <w:proofErr w:type="gramStart"/>
      <w:r>
        <w:t>zł</w:t>
      </w:r>
      <w:proofErr w:type="gramEnd"/>
      <w:r>
        <w:t xml:space="preserve"> netto” w prawej kolumnie powinna się pojawić jednostka „……godzin”</w:t>
      </w:r>
    </w:p>
    <w:p w:rsidR="005A6554" w:rsidRDefault="005A6554" w:rsidP="005A6554">
      <w:pPr>
        <w:pStyle w:val="Akapitzlist"/>
        <w:ind w:left="786"/>
        <w:jc w:val="both"/>
        <w:rPr>
          <w:color w:val="8496B0" w:themeColor="text2" w:themeTint="99"/>
        </w:rPr>
      </w:pPr>
      <w:proofErr w:type="spellStart"/>
      <w:r>
        <w:rPr>
          <w:color w:val="8496B0" w:themeColor="text2" w:themeTint="99"/>
        </w:rPr>
        <w:t>Odp</w:t>
      </w:r>
      <w:proofErr w:type="spellEnd"/>
      <w:r>
        <w:rPr>
          <w:color w:val="8496B0" w:themeColor="text2" w:themeTint="99"/>
        </w:rPr>
        <w:t xml:space="preserve">: jednostki oceny czynności podane są w górnej części tabeli: Kwota/roboczogodzina. Niektóre czynności wykonuje się w zł netto inne w roboczogodzinie. Np. koszt lamp trudno ocenić w formie roboczogodzin. Liczy się koszt zakupu. </w:t>
      </w:r>
    </w:p>
    <w:p w:rsidR="005A6554" w:rsidRDefault="005A6554" w:rsidP="005A6554">
      <w:pPr>
        <w:pStyle w:val="Akapitzlist"/>
        <w:numPr>
          <w:ilvl w:val="0"/>
          <w:numId w:val="3"/>
        </w:numPr>
        <w:jc w:val="both"/>
      </w:pPr>
      <w:r>
        <w:t>Czy wskazany w tabeli, pkt 7 parametr „czas reakcji” jest tożsamy z parametrem z kryterium oceny ofert „Czas reakcji na podjęcie realizacji zlecenia”?</w:t>
      </w:r>
    </w:p>
    <w:p w:rsidR="005A6554" w:rsidRDefault="005A6554" w:rsidP="005A6554">
      <w:pPr>
        <w:pStyle w:val="Akapitzlist"/>
        <w:ind w:left="786"/>
        <w:jc w:val="both"/>
        <w:rPr>
          <w:color w:val="8496B0" w:themeColor="text2" w:themeTint="99"/>
        </w:rPr>
      </w:pPr>
      <w:proofErr w:type="spellStart"/>
      <w:r>
        <w:rPr>
          <w:color w:val="8496B0" w:themeColor="text2" w:themeTint="99"/>
        </w:rPr>
        <w:t>Odp</w:t>
      </w:r>
      <w:proofErr w:type="spellEnd"/>
      <w:r>
        <w:rPr>
          <w:color w:val="8496B0" w:themeColor="text2" w:themeTint="99"/>
        </w:rPr>
        <w:t>: TAK.</w:t>
      </w:r>
    </w:p>
    <w:p w:rsidR="005A6554" w:rsidRDefault="005A6554" w:rsidP="005A6554">
      <w:pPr>
        <w:pStyle w:val="Akapitzlist"/>
        <w:numPr>
          <w:ilvl w:val="0"/>
          <w:numId w:val="1"/>
        </w:numPr>
        <w:ind w:left="426" w:hanging="426"/>
        <w:jc w:val="both"/>
      </w:pPr>
      <w:r>
        <w:t>Tabela. Pkt. 11 i 12. Kompleksowe czyszczenie projektorów. Prosimy o potwierdzenie, że przy tych elementach należy wyceniać kompleksowe czyszczenie jednego projektora wraz z wyceną akcesoriów takich jak np. filtry, a nie roboczogodzinę.</w:t>
      </w:r>
    </w:p>
    <w:p w:rsidR="005A6554" w:rsidRDefault="005A6554" w:rsidP="005A6554">
      <w:pPr>
        <w:pStyle w:val="Akapitzlist"/>
        <w:ind w:left="426"/>
        <w:jc w:val="both"/>
        <w:rPr>
          <w:color w:val="8496B0" w:themeColor="text2" w:themeTint="99"/>
        </w:rPr>
      </w:pPr>
      <w:proofErr w:type="spellStart"/>
      <w:r>
        <w:rPr>
          <w:color w:val="8496B0" w:themeColor="text2" w:themeTint="99"/>
        </w:rPr>
        <w:t>Odp</w:t>
      </w:r>
      <w:proofErr w:type="spellEnd"/>
      <w:r>
        <w:rPr>
          <w:color w:val="8496B0" w:themeColor="text2" w:themeTint="99"/>
        </w:rPr>
        <w:t>: TAK.</w:t>
      </w:r>
    </w:p>
    <w:p w:rsidR="005A6554" w:rsidRDefault="005A6554" w:rsidP="005A6554">
      <w:pPr>
        <w:pStyle w:val="Akapitzlist"/>
        <w:numPr>
          <w:ilvl w:val="0"/>
          <w:numId w:val="1"/>
        </w:numPr>
        <w:ind w:left="426" w:hanging="426"/>
        <w:jc w:val="both"/>
      </w:pPr>
      <w:r>
        <w:lastRenderedPageBreak/>
        <w:t>Tabela z części otwartej umowy. Zamawiający nie wskazał nigdzie wymogu wyceny jednorazowego przyjazdu (bez prac). Z uwagi na fakt, że nie wskazano nigdzie planowanych ilości prac dla poszczególnych czynności, wycena taka powinna stanowić odrębną pozycję. Wliczanie jej do roboczogodziny mija się z celem, gdyż inny będzie koszt roboczogodziny przy konieczności przyjazdu do siedziby Zamawiającego i pracy przez 1 godzinę, a zupełnie inny przy całym dniu lub tygodniu ośmiogodzinnej pracy. Również w zależności od wymaganego zadania, czasem przyjazd wykonawcy będzie niezbędny a czasem możliwa będzie realizacja zadania w siedzibie wykonawcy.</w:t>
      </w:r>
    </w:p>
    <w:p w:rsidR="005A6554" w:rsidRDefault="005A6554" w:rsidP="005A6554">
      <w:pPr>
        <w:pStyle w:val="Akapitzlist"/>
        <w:ind w:left="426"/>
        <w:jc w:val="both"/>
        <w:rPr>
          <w:color w:val="8496B0" w:themeColor="text2" w:themeTint="99"/>
        </w:rPr>
      </w:pPr>
      <w:proofErr w:type="spellStart"/>
      <w:r>
        <w:rPr>
          <w:color w:val="8496B0" w:themeColor="text2" w:themeTint="99"/>
        </w:rPr>
        <w:t>Odp</w:t>
      </w:r>
      <w:proofErr w:type="spellEnd"/>
      <w:r>
        <w:rPr>
          <w:color w:val="8496B0" w:themeColor="text2" w:themeTint="99"/>
        </w:rPr>
        <w:t>: Jednorazowy przyjazd nie w trybie przeglądu, a do prac z części otwartej rozliczany zasadach roboczogodziny pracy.</w:t>
      </w:r>
    </w:p>
    <w:p w:rsidR="005A6554" w:rsidRDefault="005A6554" w:rsidP="005A6554">
      <w:pPr>
        <w:pStyle w:val="Akapitzlist"/>
        <w:ind w:left="426"/>
        <w:jc w:val="both"/>
      </w:pPr>
      <w:r>
        <w:t xml:space="preserve">Wnosimy o dodanie pozycji w tabeli. </w:t>
      </w:r>
    </w:p>
    <w:p w:rsidR="005A6554" w:rsidRDefault="005A6554" w:rsidP="005A6554">
      <w:pPr>
        <w:pStyle w:val="Akapitzlist"/>
        <w:numPr>
          <w:ilvl w:val="0"/>
          <w:numId w:val="1"/>
        </w:numPr>
        <w:ind w:left="426" w:hanging="426"/>
        <w:jc w:val="both"/>
      </w:pPr>
      <w:r>
        <w:t>Kryteria oceny ofert. Czas reakcji na podjęcie realizacji zlecenia. Prosimy o wyjaśnienie wskazanego kryterium:</w:t>
      </w:r>
    </w:p>
    <w:p w:rsidR="005A6554" w:rsidRDefault="005A6554" w:rsidP="005A6554">
      <w:pPr>
        <w:pStyle w:val="Akapitzlist"/>
        <w:numPr>
          <w:ilvl w:val="0"/>
          <w:numId w:val="4"/>
        </w:numPr>
        <w:jc w:val="both"/>
      </w:pPr>
      <w:r>
        <w:t>Które zlecenie Zamawiający ma na myśli? Przegląd serwisowy czy konkretne zlecenie z części otwartej umowy? Jeśli zlecenie z części otwartej – to które?</w:t>
      </w:r>
    </w:p>
    <w:p w:rsidR="005A6554" w:rsidRDefault="005A6554" w:rsidP="005A6554">
      <w:pPr>
        <w:pStyle w:val="Akapitzlist"/>
        <w:ind w:left="786"/>
        <w:jc w:val="both"/>
        <w:rPr>
          <w:color w:val="8496B0" w:themeColor="text2" w:themeTint="99"/>
        </w:rPr>
      </w:pPr>
      <w:proofErr w:type="spellStart"/>
      <w:r>
        <w:rPr>
          <w:color w:val="8496B0" w:themeColor="text2" w:themeTint="99"/>
        </w:rPr>
        <w:t>Odp</w:t>
      </w:r>
      <w:proofErr w:type="spellEnd"/>
      <w:r>
        <w:rPr>
          <w:color w:val="8496B0" w:themeColor="text2" w:themeTint="99"/>
        </w:rPr>
        <w:t>: Każde dodatkowe zlecenie z części otwartej i każde inne, które może się pojawić. Tabela określa przykładowe prace dodatkowe. Każdorazowo przedstawiona oferta cenowa Wykonawcy do akceptacji Zamawiającego.</w:t>
      </w:r>
    </w:p>
    <w:p w:rsidR="005A6554" w:rsidRDefault="005A6554" w:rsidP="005A6554">
      <w:pPr>
        <w:pStyle w:val="Akapitzlist"/>
        <w:numPr>
          <w:ilvl w:val="0"/>
          <w:numId w:val="4"/>
        </w:numPr>
        <w:jc w:val="both"/>
      </w:pPr>
      <w:r>
        <w:t>Zamawiający używa sformułowania „czas reakcji na podjęcie realizacji zlecenia” a następnie w opisie parametru „termin realizacji”. Prosimy o doprecyzowanie, czy wykonawca ma wskazać czas reakcji na zgłoszenie elektroniczne lub telefoniczne, czy czas wykonania konkretnego zadania? W drugim przypadku prosimy o wskazanie którego zadania dotyczy parametr.</w:t>
      </w:r>
    </w:p>
    <w:p w:rsidR="005A6554" w:rsidRDefault="005A6554" w:rsidP="005A6554">
      <w:pPr>
        <w:pStyle w:val="Akapitzlist"/>
        <w:ind w:left="786"/>
        <w:jc w:val="both"/>
        <w:rPr>
          <w:color w:val="8496B0" w:themeColor="text2" w:themeTint="99"/>
        </w:rPr>
      </w:pPr>
      <w:proofErr w:type="spellStart"/>
      <w:r>
        <w:rPr>
          <w:color w:val="8496B0" w:themeColor="text2" w:themeTint="99"/>
        </w:rPr>
        <w:t>Odp</w:t>
      </w:r>
      <w:proofErr w:type="spellEnd"/>
      <w:r>
        <w:rPr>
          <w:color w:val="8496B0" w:themeColor="text2" w:themeTint="99"/>
        </w:rPr>
        <w:t>: Wykonawca ma określić czas reakcji. Czasu usunięcia niektórych usterek nie da się określić.</w:t>
      </w:r>
    </w:p>
    <w:p w:rsidR="005A6554" w:rsidRDefault="005A6554" w:rsidP="005A6554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Kryteria oceny ofert. Cena usług dodatkowych. Zamawiający wskazuje że parametr „zostanie ocenione na podstawie podanej przez wykonawcę w ofercie ceny netto za jedną roboczogodzinę jednego pracownika Wykonawcy”. </w:t>
      </w:r>
    </w:p>
    <w:p w:rsidR="005A6554" w:rsidRDefault="005A6554" w:rsidP="005A6554">
      <w:pPr>
        <w:pStyle w:val="Akapitzlist"/>
        <w:ind w:left="426"/>
        <w:jc w:val="both"/>
      </w:pPr>
      <w:r>
        <w:t>W tabeli z wyceną części otwartej umowy znajduje się 8 pozycji, co do których możemy być pewni, że dotyczą wyceny roboczogodziny (poz</w:t>
      </w:r>
      <w:proofErr w:type="gramStart"/>
      <w:r>
        <w:t>. 1, 2, 5, 8, 9, 10, 13, 14). Każda</w:t>
      </w:r>
      <w:proofErr w:type="gramEnd"/>
      <w:r>
        <w:t xml:space="preserve"> z tych prac jest wyceniana w inny sposób. Prosimy o wskazanie, których prac dotyczy oceniany parametr? </w:t>
      </w:r>
    </w:p>
    <w:p w:rsidR="005A6554" w:rsidRDefault="005A6554" w:rsidP="005A6554">
      <w:pPr>
        <w:pStyle w:val="Akapitzlist"/>
        <w:ind w:left="426"/>
        <w:jc w:val="both"/>
        <w:rPr>
          <w:color w:val="8496B0" w:themeColor="text2" w:themeTint="99"/>
        </w:rPr>
      </w:pPr>
      <w:proofErr w:type="spellStart"/>
      <w:r>
        <w:rPr>
          <w:color w:val="8496B0" w:themeColor="text2" w:themeTint="99"/>
        </w:rPr>
        <w:t>Odp</w:t>
      </w:r>
      <w:proofErr w:type="spellEnd"/>
      <w:r>
        <w:rPr>
          <w:color w:val="8496B0" w:themeColor="text2" w:themeTint="99"/>
        </w:rPr>
        <w:t>: Cena netto za jedną roboczogodzinę jednego pracownika Wykonawcy musi być ujednolicona. Nieistotne jest ile zajmuje wykonanie dodatkowej pracy tej czy innej. Trudniejsza praca określana jest mnożnikiem godzin/</w:t>
      </w:r>
      <w:proofErr w:type="gramStart"/>
      <w:r>
        <w:rPr>
          <w:color w:val="8496B0" w:themeColor="text2" w:themeTint="99"/>
        </w:rPr>
        <w:t>minut  potrzebnych</w:t>
      </w:r>
      <w:proofErr w:type="gramEnd"/>
      <w:r>
        <w:rPr>
          <w:color w:val="8496B0" w:themeColor="text2" w:themeTint="99"/>
        </w:rPr>
        <w:t xml:space="preserve"> do usunięcia awarii. Każdorazowo na zasadach zaakceptowanych w ofercie cenowej Wykonawcy. </w:t>
      </w:r>
    </w:p>
    <w:p w:rsidR="005A6554" w:rsidRDefault="005A6554" w:rsidP="005A6554">
      <w:pPr>
        <w:pStyle w:val="Akapitzlist"/>
        <w:numPr>
          <w:ilvl w:val="0"/>
          <w:numId w:val="1"/>
        </w:numPr>
        <w:ind w:left="426" w:hanging="426"/>
        <w:jc w:val="both"/>
      </w:pPr>
      <w:r>
        <w:t xml:space="preserve">Z uwagi na wymienione wyżej niejasności, jak również niezwykle krótki termin na złożenie oferty, wnosimy o wydłużenie terminu składania ofert do dnia 17.12.2018 </w:t>
      </w:r>
      <w:proofErr w:type="gramStart"/>
      <w:r>
        <w:t>roku</w:t>
      </w:r>
      <w:proofErr w:type="gramEnd"/>
      <w:r>
        <w:t xml:space="preserve"> oraz umożliwienie składania ofert w postaci elektronicznej, z kwalifikowanym podpisem cyfrowym.</w:t>
      </w:r>
    </w:p>
    <w:p w:rsidR="005A6554" w:rsidRDefault="005A6554" w:rsidP="005A6554">
      <w:pPr>
        <w:pStyle w:val="Akapitzlist"/>
        <w:ind w:left="426"/>
        <w:jc w:val="both"/>
        <w:rPr>
          <w:color w:val="8496B0" w:themeColor="text2" w:themeTint="99"/>
        </w:rPr>
      </w:pPr>
      <w:r>
        <w:rPr>
          <w:color w:val="8496B0" w:themeColor="text2" w:themeTint="99"/>
        </w:rPr>
        <w:t>Odp. Termin nie zostanie wydłużony.</w:t>
      </w:r>
    </w:p>
    <w:p w:rsidR="0006508D" w:rsidRDefault="0006508D"/>
    <w:sectPr w:rsidR="0006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A6641"/>
    <w:multiLevelType w:val="hybridMultilevel"/>
    <w:tmpl w:val="89F85A22"/>
    <w:lvl w:ilvl="0" w:tplc="208CE832">
      <w:start w:val="1"/>
      <w:numFmt w:val="decimal"/>
      <w:lvlText w:val="%1."/>
      <w:lvlJc w:val="left"/>
      <w:pPr>
        <w:ind w:left="720" w:hanging="360"/>
      </w:pPr>
      <w:rPr>
        <w:rFonts w:eastAsiaTheme="minorHAnsi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34450"/>
    <w:multiLevelType w:val="hybridMultilevel"/>
    <w:tmpl w:val="6750C48A"/>
    <w:lvl w:ilvl="0" w:tplc="90EAF9D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5F502B"/>
    <w:multiLevelType w:val="hybridMultilevel"/>
    <w:tmpl w:val="90A8ED9C"/>
    <w:lvl w:ilvl="0" w:tplc="F0462C6C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1140CE0"/>
    <w:multiLevelType w:val="hybridMultilevel"/>
    <w:tmpl w:val="B1D4A142"/>
    <w:lvl w:ilvl="0" w:tplc="B2A4C2E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54"/>
    <w:rsid w:val="0006508D"/>
    <w:rsid w:val="00572488"/>
    <w:rsid w:val="005A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58DB"/>
  <w15:chartTrackingRefBased/>
  <w15:docId w15:val="{49AB8741-6E9A-470F-9B60-64F7AA8C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55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554"/>
    <w:pPr>
      <w:spacing w:after="160" w:line="256" w:lineRule="auto"/>
      <w:ind w:left="720"/>
      <w:contextualSpacing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0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rafal.konski@ad.muzeumwarszawy.pl</dc:creator>
  <cp:keywords/>
  <dc:description/>
  <cp:lastModifiedBy>rafal.konski@ad.muzeumwarszawy.pl</cp:lastModifiedBy>
  <cp:revision>3</cp:revision>
  <dcterms:created xsi:type="dcterms:W3CDTF">2018-12-11T14:49:00Z</dcterms:created>
  <dcterms:modified xsi:type="dcterms:W3CDTF">2018-12-11T14:51:00Z</dcterms:modified>
</cp:coreProperties>
</file>