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1" w:rsidRPr="00646A32" w:rsidRDefault="00CF4871" w:rsidP="009664FC">
      <w:pPr>
        <w:pStyle w:val="Nagwek1"/>
        <w:spacing w:line="360" w:lineRule="auto"/>
      </w:pPr>
      <w:r w:rsidRPr="00646A32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Galanterii Patriotycznej</w:t>
      </w:r>
    </w:p>
    <w:p w:rsidR="003C69C9" w:rsidRDefault="00BF38FD" w:rsidP="009664FC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Czy Polacy mogą wybić się na niepodległość? To pytanie nurtowało kolejne pokolenia, odkąd w końcu 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t xml:space="preserve">osiemnastego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 ziemie Rzeczypospolitej Obojga Narodów zostały podzielone między Rosję, Prusy i Austrię, a państwo przestało istnieć. Przez polskim społeczeństwem stanęło zadanie utrzymania świadomości i tożsamości narodowej, aby w sprzyjającym momencie odzyskać suwerenność. Przypominaniu o polskiej tradycji służyła między innymi drobna galanteria o charakterze patriotycznym. Należały do niej zarówno pamiątkowe medale, plakiety i znaczki, jak i przedmioty użytkowe: biżuteria, zegarki, naczynia stołowe, ozdobne oprawy książek, papierośnice czy puzderka. Te osobiste przedmioty za pomocą znanych powszechnie symboli odwoływały się do tradycji zrywów wyzwoleńczych, a także postaci historycznych, przypominały o utraconym państwie, miały chronić przed wpływem obcej kultury i religii. Umieszczane na nich symbole to przede wszystkim polskie godło – Orzeł Biały, jak też barwy: biało-czerwona, oznaczająca Koronę Królestwa Polskiego, oraz niebieska, oznaczająca Wielkie Księstwo Litewskie (połączone unią 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z Koroną w jedno państwo w 1569 roku). W zaborze rosyjskim, głównie w Warszawie, stworzono zestaw „znaków pamięci i tożsamości” zdobiących przedmioty użytkowe, do których należały krzyż, serce, kotwica, korona cierniowa, gałązki palmowe</w:t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>, panoplia i inne.</w:t>
      </w:r>
      <w:r w:rsidR="00ED157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>Galanterię patriotyczn</w:t>
      </w:r>
      <w:r w:rsidR="00ED1571">
        <w:rPr>
          <w:rFonts w:ascii="GoodHeadlinePro-News" w:hAnsi="GoodHeadlinePro-News" w:cs="GoodHeadlinePro-News"/>
          <w:color w:val="000000"/>
          <w:sz w:val="28"/>
          <w:szCs w:val="28"/>
        </w:rPr>
        <w:t xml:space="preserve">ą do </w:t>
      </w:r>
      <w:r w:rsidR="008913F3">
        <w:rPr>
          <w:rFonts w:ascii="GoodHeadlinePro-News" w:hAnsi="GoodHeadlinePro-News" w:cs="GoodHeadlinePro-News"/>
          <w:color w:val="000000"/>
          <w:sz w:val="28"/>
          <w:szCs w:val="28"/>
        </w:rPr>
        <w:t>wybuchu pierwszej</w:t>
      </w:r>
      <w:r w:rsidR="00ED1571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wojny światowej w 1914 roku</w:t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produkowano w konspiracji w zaborze rosyjskim i austriackim oraz – na prywatne zamówienia – w Niemczech, Szwajcarii i Francji. Wyparcie Rosjan przez Niemców z Warszawy i Królestwa Polskiego w 1915 roku otworzyło nowy etap: odtąd tego rodzaju pamiątki, traktowane </w:t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jako oręż propagandy narodowej, produkowane były masowo i jawnie przez wyspecjalizowane firmy w Warszawie, Krakowie i Lwowie. Materiały z których je wyrabiano, a także poziom wykonania świadczą o tym, </w:t>
      </w:r>
      <w:bookmarkStart w:id="0" w:name="_GoBack"/>
      <w:bookmarkEnd w:id="0"/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 xml:space="preserve">że odbiorcy rekrutowali się z rozmaitych szczebli drabiny społecznej – znajdują się wśród nich zarówno przedmioty luksusowe, jak i bardzo skromne. Ta cicha walka propagandowa była zwykle pokłosiem kolejnych etapów wali narodowowyzwoleńczej, czyli powstań zbrojnych. Przedstawione tu obiekty są tego przykładem: zegarek z portretem Tadeusza Kościuszki (1746 – 1817) przypominał postać naczelnika powstania 1794 roku, kubek z ukrytą za srebrną obudową treścią patriotyczną to pamiątka powstania listopadowego (1830 – 1831), komplet biżuterii żałobnej z początku lat 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t xml:space="preserve">sześćdziesiątych dziewiętnastego </w:t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 był świadectwem oporu społeczeństwa (wielką rolę w podtrzymywaniu tradycji patriotycznych odgrywały kobiety). Opór ten w 1863 roku doprowadził do wybuchu powstania styczniowego. Restytucja Rzeczypospolitej w 1918 roku była zwieńczeniem wieloletniej akcji społecznej mającej na celu utrzymanie świadomości narodowej Polaków. </w:t>
      </w:r>
      <w:r w:rsidR="00ED157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436B4">
        <w:rPr>
          <w:rFonts w:ascii="GoodHeadlinePro-News" w:hAnsi="GoodHeadlinePro-News" w:cs="GoodHeadlinePro-News"/>
          <w:color w:val="000000"/>
          <w:sz w:val="28"/>
          <w:szCs w:val="28"/>
        </w:rPr>
        <w:t>Prezentowane w Gabinecie</w:t>
      </w:r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eksponaty należą w znacznej mierze do dwóch kolekcji znajdujących się w zbiorach Muzeum Warszawy: kolekcji Eugeniusza </w:t>
      </w:r>
      <w:proofErr w:type="spellStart"/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>Phulla</w:t>
      </w:r>
      <w:proofErr w:type="spellEnd"/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na którą składają się obiekty pochodzące z lat 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t xml:space="preserve">sześćdziesiątych dziewiętnastego </w:t>
      </w:r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wieku, tematycznie nawiązujące do ruchu niepodległościowego w Warszawie i Królestwie Polskim w tym okresie, oraz kolekcji Krzysztofa Klingera, gromadzącej pamiątki walki 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>o restytucj</w:t>
      </w:r>
      <w:r w:rsidR="00180EA6">
        <w:rPr>
          <w:rFonts w:ascii="GoodHeadlinePro-News" w:hAnsi="GoodHeadlinePro-News" w:cs="GoodHeadlinePro-News"/>
          <w:color w:val="000000"/>
          <w:sz w:val="28"/>
          <w:szCs w:val="28"/>
        </w:rPr>
        <w:t>ę niepodległej Polski w latach pierwszej</w:t>
      </w:r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wojny światowej (1914 – 1918). Obie znalazły się w zbiorach dzięki zapisowi testamentowemu. </w:t>
      </w:r>
    </w:p>
    <w:p w:rsidR="004436B4" w:rsidRPr="004436B4" w:rsidRDefault="009908AF" w:rsidP="004436B4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Jolanta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Niklewska</w:t>
      </w:r>
      <w:proofErr w:type="spellEnd"/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3C69C9"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sectPr w:rsidR="004436B4" w:rsidRPr="004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6"/>
    <w:rsid w:val="000C4C14"/>
    <w:rsid w:val="00180EA6"/>
    <w:rsid w:val="002049A6"/>
    <w:rsid w:val="003C69C9"/>
    <w:rsid w:val="00410AF8"/>
    <w:rsid w:val="004436B4"/>
    <w:rsid w:val="008913F3"/>
    <w:rsid w:val="009664FC"/>
    <w:rsid w:val="009908AF"/>
    <w:rsid w:val="00BF38FD"/>
    <w:rsid w:val="00CF4871"/>
    <w:rsid w:val="00E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127B"/>
  <w15:chartTrackingRefBased/>
  <w15:docId w15:val="{C96EB43B-8733-48E3-8803-EB3008D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71"/>
  </w:style>
  <w:style w:type="paragraph" w:styleId="Nagwek1">
    <w:name w:val="heading 1"/>
    <w:basedOn w:val="Normalny"/>
    <w:next w:val="Normalny"/>
    <w:link w:val="Nagwek1Znak"/>
    <w:uiPriority w:val="9"/>
    <w:qFormat/>
    <w:rsid w:val="00CF487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87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CF4871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CF4871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Gal Patr, wstęp 26.02.21</dc:title>
  <dc:subject/>
  <dc:creator>katarzyna.szafranska@ad.muzeumwarszawy.pl</dc:creator>
  <cp:keywords/>
  <dc:description/>
  <cp:lastModifiedBy>katarzyna.szafranska@ad.muzeumwarszawy.pl</cp:lastModifiedBy>
  <cp:revision>13</cp:revision>
  <dcterms:created xsi:type="dcterms:W3CDTF">2021-02-26T09:57:00Z</dcterms:created>
  <dcterms:modified xsi:type="dcterms:W3CDTF">2021-02-27T14:34:00Z</dcterms:modified>
</cp:coreProperties>
</file>