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903" w:rsidRPr="006F0903" w:rsidRDefault="00F9327F" w:rsidP="004C0DE8">
      <w:pPr>
        <w:pStyle w:val="Nagwek1"/>
        <w:spacing w:line="360" w:lineRule="auto"/>
      </w:pPr>
      <w:r>
        <w:rPr>
          <w:rStyle w:val="A0"/>
          <w:rFonts w:asciiTheme="majorHAnsi" w:hAnsiTheme="majorHAnsi" w:cstheme="majorBidi"/>
          <w:b w:val="0"/>
          <w:bCs w:val="0"/>
          <w:color w:val="2E74B5" w:themeColor="accent1" w:themeShade="BF"/>
          <w:sz w:val="32"/>
          <w:szCs w:val="32"/>
        </w:rPr>
        <w:t>Gabinet</w:t>
      </w:r>
      <w:r w:rsidR="00FF2E17">
        <w:rPr>
          <w:rStyle w:val="A0"/>
          <w:rFonts w:asciiTheme="majorHAnsi" w:hAnsiTheme="majorHAnsi" w:cstheme="majorBidi"/>
          <w:b w:val="0"/>
          <w:bCs w:val="0"/>
          <w:color w:val="2E74B5" w:themeColor="accent1" w:themeShade="BF"/>
          <w:sz w:val="32"/>
          <w:szCs w:val="32"/>
        </w:rPr>
        <w:t xml:space="preserve"> </w:t>
      </w:r>
      <w:r w:rsidR="00CE3677">
        <w:rPr>
          <w:rStyle w:val="A0"/>
          <w:rFonts w:asciiTheme="majorHAnsi" w:hAnsiTheme="majorHAnsi" w:cstheme="majorBidi"/>
          <w:b w:val="0"/>
          <w:bCs w:val="0"/>
          <w:color w:val="2E74B5" w:themeColor="accent1" w:themeShade="BF"/>
          <w:sz w:val="32"/>
          <w:szCs w:val="32"/>
        </w:rPr>
        <w:t xml:space="preserve">Ludwika </w:t>
      </w:r>
      <w:r w:rsidR="00FF2E17">
        <w:rPr>
          <w:rStyle w:val="A0"/>
          <w:rFonts w:asciiTheme="majorHAnsi" w:hAnsiTheme="majorHAnsi" w:cstheme="majorBidi"/>
          <w:b w:val="0"/>
          <w:bCs w:val="0"/>
          <w:noProof/>
          <w:color w:val="2E74B5" w:themeColor="accent1" w:themeShade="BF"/>
          <w:sz w:val="32"/>
          <w:szCs w:val="32"/>
        </w:rPr>
        <w:t>Gocla</w:t>
      </w:r>
    </w:p>
    <w:p w:rsidR="00FF2E17" w:rsidRDefault="00FF2E17" w:rsidP="00FF2E17">
      <w:pPr>
        <w:pStyle w:val="Pa0"/>
        <w:spacing w:before="420" w:line="360" w:lineRule="auto"/>
        <w:rPr>
          <w:rFonts w:ascii="GoodHeadlinePro-News" w:hAnsi="GoodHeadlinePro-News" w:cs="GoodHeadlinePro-News"/>
          <w:color w:val="000000"/>
          <w:sz w:val="28"/>
          <w:szCs w:val="28"/>
        </w:rPr>
      </w:pPr>
      <w:r>
        <w:rPr>
          <w:rFonts w:ascii="GoodHeadlinePro-News" w:hAnsi="GoodHeadlinePro-News" w:cs="GoodHeadlinePro-News"/>
          <w:color w:val="000000"/>
          <w:sz w:val="28"/>
          <w:szCs w:val="28"/>
        </w:rPr>
        <w:t xml:space="preserve">Ludwik </w:t>
      </w:r>
      <w:r>
        <w:rPr>
          <w:rFonts w:ascii="GoodHeadlinePro-News" w:hAnsi="GoodHeadlinePro-News" w:cs="GoodHeadlinePro-News"/>
          <w:noProof/>
          <w:color w:val="000000"/>
          <w:sz w:val="28"/>
          <w:szCs w:val="28"/>
        </w:rPr>
        <w:t>Gocel</w:t>
      </w:r>
      <w:r>
        <w:rPr>
          <w:rFonts w:ascii="GoodHeadlinePro-News" w:hAnsi="GoodHeadlinePro-News" w:cs="GoodHeadlinePro-News"/>
          <w:color w:val="000000"/>
          <w:sz w:val="28"/>
          <w:szCs w:val="28"/>
        </w:rPr>
        <w:t xml:space="preserve"> (1889 – 1966) był bibliofilem i zbieraczem. Pamiątki związane z powstaniem listopadowym (1830 – 1831) i Wielką Emigracją, która była jego następstwem, zaczął kolekcjonować w 1924 roku. Podczas powstania warszawskiego 1944 roku stracił przeszło połowę zbiorów, lecz w latach powojenny</w:t>
      </w:r>
      <w:r w:rsidR="00CE3677">
        <w:rPr>
          <w:rFonts w:ascii="GoodHeadlinePro-News" w:hAnsi="GoodHeadlinePro-News" w:cs="GoodHeadlinePro-News"/>
          <w:color w:val="000000"/>
          <w:sz w:val="28"/>
          <w:szCs w:val="28"/>
        </w:rPr>
        <w:t>ch odbudowywał je i uzupełniał,</w:t>
      </w:r>
      <w:r>
        <w:rPr>
          <w:rFonts w:ascii="GoodHeadlinePro-News" w:hAnsi="GoodHeadlinePro-News" w:cs="GoodHeadlinePro-News"/>
          <w:color w:val="000000"/>
          <w:sz w:val="28"/>
          <w:szCs w:val="28"/>
        </w:rPr>
        <w:t xml:space="preserve"> by przekazać Muzeum Historycznemu m.st. Warszawy (obecnie Muzeum Warszawy) w 1964 roku.</w:t>
      </w:r>
      <w:r>
        <w:rPr>
          <w:rFonts w:ascii="GoodHeadlinePro-News" w:hAnsi="GoodHeadlinePro-News" w:cs="GoodHeadlinePro-News"/>
          <w:color w:val="000000"/>
          <w:sz w:val="28"/>
          <w:szCs w:val="28"/>
        </w:rPr>
        <w:br/>
        <w:t xml:space="preserve">W latach 1975 – 1978 Muzeum opublikowało w trzech tomach pełen katalog tych zbiorów. Kolekcja Ludwika </w:t>
      </w:r>
      <w:proofErr w:type="spellStart"/>
      <w:r>
        <w:rPr>
          <w:rFonts w:ascii="GoodHeadlinePro-News" w:hAnsi="GoodHeadlinePro-News" w:cs="GoodHeadlinePro-News"/>
          <w:color w:val="000000"/>
          <w:sz w:val="28"/>
          <w:szCs w:val="28"/>
        </w:rPr>
        <w:t>Gocla</w:t>
      </w:r>
      <w:proofErr w:type="spellEnd"/>
      <w:r>
        <w:rPr>
          <w:rFonts w:ascii="GoodHeadlinePro-News" w:hAnsi="GoodHeadlinePro-News" w:cs="GoodHeadlinePro-News"/>
          <w:color w:val="000000"/>
          <w:sz w:val="28"/>
          <w:szCs w:val="28"/>
        </w:rPr>
        <w:t xml:space="preserve"> ma charakter tematyczny i obejmuje bardzo różne kategorie obiektów: publikacje książkowe, ryciny, bilety wizytowe postaci związanych z powstaniem, patriotyczne memorabilia odnoszące się zarówno do poszczególnych bitew powstania, jak i jego kolejnych rocznic. Najliczniejszą częścią tych zbiorów jest księgozbiór, równie ważną, choć nieco mniej pokaźną – grafika.</w:t>
      </w:r>
      <w:r w:rsidR="00F27FD3">
        <w:rPr>
          <w:rFonts w:ascii="GoodHeadlinePro-News" w:hAnsi="GoodHeadlinePro-News" w:cs="GoodHeadlinePro-News"/>
          <w:color w:val="000000"/>
          <w:sz w:val="28"/>
          <w:szCs w:val="28"/>
        </w:rPr>
        <w:t xml:space="preserve"> W XIX wieku techniki graficzne powszechnie służyły do wytwarzania powielanych na papierze obrazów, co stwarzało możliwość komentowania bieżących wydarzeń oraz rozpowszechniania informacji, a grafika pełniła funkcję wizualnego środka masowego przekazu. Dzięki swej wszechobecności przedstawienia graficzne z czasów powstania i emigracji odegrały ważną rolę w kształtowaniu się polskiej narodowej ikonografii historycznej. Zbiory graficzne Ludwika </w:t>
      </w:r>
      <w:proofErr w:type="spellStart"/>
      <w:r w:rsidR="00F27FD3">
        <w:rPr>
          <w:rFonts w:ascii="GoodHeadlinePro-News" w:hAnsi="GoodHeadlinePro-News" w:cs="GoodHeadlinePro-News"/>
          <w:color w:val="000000"/>
          <w:sz w:val="28"/>
          <w:szCs w:val="28"/>
        </w:rPr>
        <w:t>Gocla</w:t>
      </w:r>
      <w:proofErr w:type="spellEnd"/>
      <w:r w:rsidR="00F27FD3">
        <w:rPr>
          <w:rFonts w:ascii="GoodHeadlinePro-News" w:hAnsi="GoodHeadlinePro-News" w:cs="GoodHeadlinePro-News"/>
          <w:color w:val="000000"/>
          <w:sz w:val="28"/>
          <w:szCs w:val="28"/>
        </w:rPr>
        <w:t xml:space="preserve"> obejmują kilka grup tematycznych: portrety osób związanych z powstaniem, ilustracje kluczowych dla powstania wydarzeń oraz scen przykładnego bohaterstwa, typy żołnierzy i oficerów różnych formacji wojskowych polskiej armii, przedstawienia alegoryczne odnoszące się do polskiej mitologii narodowej. </w:t>
      </w:r>
      <w:r w:rsidR="00F27FD3">
        <w:rPr>
          <w:rFonts w:ascii="GoodHeadlinePro-News" w:hAnsi="GoodHeadlinePro-News" w:cs="GoodHeadlinePro-News"/>
          <w:color w:val="000000"/>
          <w:sz w:val="28"/>
          <w:szCs w:val="28"/>
        </w:rPr>
        <w:br/>
      </w:r>
      <w:r w:rsidR="00F27FD3">
        <w:rPr>
          <w:rFonts w:ascii="GoodHeadlinePro-News" w:hAnsi="GoodHeadlinePro-News" w:cs="GoodHeadlinePro-News"/>
          <w:color w:val="000000"/>
          <w:sz w:val="28"/>
          <w:szCs w:val="28"/>
        </w:rPr>
        <w:lastRenderedPageBreak/>
        <w:t>Księgozbiór, oprócz książek, czasopism i druków ulotnych, obejmuje niemal sto publikacji nutowych związanych tematycznie i czasowo z powstaniem listopadowym.</w:t>
      </w:r>
      <w:r w:rsidR="00364165">
        <w:rPr>
          <w:rFonts w:ascii="GoodHeadlinePro-News" w:hAnsi="GoodHeadlinePro-News" w:cs="GoodHeadlinePro-News"/>
          <w:color w:val="000000"/>
          <w:sz w:val="28"/>
          <w:szCs w:val="28"/>
        </w:rPr>
        <w:t xml:space="preserve"> Nuty były powielane przez litograficzne firmy </w:t>
      </w:r>
      <w:bookmarkStart w:id="0" w:name="_GoBack"/>
      <w:bookmarkEnd w:id="0"/>
      <w:r w:rsidR="00364165">
        <w:rPr>
          <w:rFonts w:ascii="GoodHeadlinePro-News" w:hAnsi="GoodHeadlinePro-News" w:cs="GoodHeadlinePro-News"/>
          <w:color w:val="000000"/>
          <w:sz w:val="28"/>
          <w:szCs w:val="28"/>
        </w:rPr>
        <w:t xml:space="preserve">warszawskie Teodora </w:t>
      </w:r>
      <w:r w:rsidR="00364165" w:rsidRPr="00AB2EFA">
        <w:rPr>
          <w:rFonts w:ascii="GoodHeadlinePro-News" w:hAnsi="GoodHeadlinePro-News" w:cs="GoodHeadlinePro-News"/>
          <w:color w:val="000000"/>
          <w:sz w:val="28"/>
          <w:szCs w:val="28"/>
          <w:lang w:val="fr-FR"/>
        </w:rPr>
        <w:t>Vivera</w:t>
      </w:r>
      <w:r w:rsidR="00364165">
        <w:rPr>
          <w:rFonts w:ascii="GoodHeadlinePro-News" w:hAnsi="GoodHeadlinePro-News" w:cs="GoodHeadlinePro-News"/>
          <w:color w:val="000000"/>
          <w:sz w:val="28"/>
          <w:szCs w:val="28"/>
        </w:rPr>
        <w:t>, Antoniego Brzeziny czy Karola Magnusa. W okresie tuż po powstaniu wiele polskich pieśni patriotycznych publikowali też wydawcy z różnych krajów niemieckich, zwłaszcza Saksonii i Prus, a utwory w aranżacji na fortepian – wydawcy francuscy.</w:t>
      </w:r>
      <w:r w:rsidR="00F377D7">
        <w:rPr>
          <w:rFonts w:ascii="GoodHeadlinePro-News" w:hAnsi="GoodHeadlinePro-News" w:cs="GoodHeadlinePro-News"/>
          <w:color w:val="000000"/>
          <w:sz w:val="28"/>
          <w:szCs w:val="28"/>
        </w:rPr>
        <w:t xml:space="preserve"> </w:t>
      </w:r>
      <w:r w:rsidR="00F377D7">
        <w:rPr>
          <w:rFonts w:ascii="GoodHeadlinePro-News" w:hAnsi="GoodHeadlinePro-News" w:cs="GoodHeadlinePro-News"/>
          <w:color w:val="000000"/>
          <w:sz w:val="28"/>
          <w:szCs w:val="28"/>
        </w:rPr>
        <w:br/>
        <w:t>Zbieranie wszelkiego rodzaju obiektów związanych z walką narodowowyzwoleńczą wpisuje się w zapoczątkowany przez księżną Izabelę Czartoryską (1746 – 1835) nurt kolekcjonowania pamiątek p</w:t>
      </w:r>
      <w:r w:rsidR="00CE3677">
        <w:rPr>
          <w:rFonts w:ascii="GoodHeadlinePro-News" w:hAnsi="GoodHeadlinePro-News" w:cs="GoodHeadlinePro-News"/>
          <w:color w:val="000000"/>
          <w:sz w:val="28"/>
          <w:szCs w:val="28"/>
        </w:rPr>
        <w:t>o</w:t>
      </w:r>
      <w:r w:rsidR="00F377D7">
        <w:rPr>
          <w:rFonts w:ascii="GoodHeadlinePro-News" w:hAnsi="GoodHeadlinePro-News" w:cs="GoodHeadlinePro-News"/>
          <w:color w:val="000000"/>
          <w:sz w:val="28"/>
          <w:szCs w:val="28"/>
        </w:rPr>
        <w:t xml:space="preserve"> utraconej ojczyźnie. Jednak pokazywany w Gabinecie zbiór Ludwika </w:t>
      </w:r>
      <w:r w:rsidR="00F377D7">
        <w:rPr>
          <w:rFonts w:ascii="GoodHeadlinePro-News" w:hAnsi="GoodHeadlinePro-News" w:cs="GoodHeadlinePro-News"/>
          <w:noProof/>
          <w:color w:val="000000"/>
          <w:sz w:val="28"/>
          <w:szCs w:val="28"/>
        </w:rPr>
        <w:t>Gocla</w:t>
      </w:r>
      <w:r w:rsidR="00F377D7">
        <w:rPr>
          <w:rFonts w:ascii="GoodHeadlinePro-News" w:hAnsi="GoodHeadlinePro-News" w:cs="GoodHeadlinePro-News"/>
          <w:color w:val="000000"/>
          <w:sz w:val="28"/>
          <w:szCs w:val="28"/>
        </w:rPr>
        <w:t xml:space="preserve"> wyróżnia się systematycznością i profesjonalnym podejściem do zadania, jakim jest budowanie wiedzy. Jego autor, choć kierowany motywacją romantyczną  z ducha, w bardzo przemyślany sposób stworzył kolekcję, która stanowi kompendium uporządkowanych </w:t>
      </w:r>
      <w:r w:rsidR="00CE3677">
        <w:rPr>
          <w:rFonts w:ascii="GoodHeadlinePro-News" w:hAnsi="GoodHeadlinePro-News" w:cs="GoodHeadlinePro-News"/>
          <w:color w:val="000000"/>
          <w:sz w:val="28"/>
          <w:szCs w:val="28"/>
        </w:rPr>
        <w:t>źródeł historycznych.</w:t>
      </w:r>
    </w:p>
    <w:p w:rsidR="00364165" w:rsidRPr="00364165" w:rsidRDefault="008F65D5" w:rsidP="00364165">
      <w:r>
        <w:t xml:space="preserve"> </w:t>
      </w:r>
    </w:p>
    <w:p w:rsidR="007E3610" w:rsidRPr="007E3610" w:rsidRDefault="00CE3677" w:rsidP="007E3610">
      <w:pPr>
        <w:pStyle w:val="Pa0"/>
        <w:spacing w:before="420" w:line="360" w:lineRule="auto"/>
        <w:rPr>
          <w:rFonts w:ascii="GoodHeadlinePro-News" w:hAnsi="GoodHeadlinePro-News" w:cs="GoodHeadlinePro-News"/>
          <w:color w:val="000000"/>
          <w:sz w:val="28"/>
          <w:szCs w:val="28"/>
        </w:rPr>
      </w:pPr>
      <w:r>
        <w:rPr>
          <w:rFonts w:ascii="GoodHeadlinePro-News" w:hAnsi="GoodHeadlinePro-News" w:cs="GoodHeadlinePro-News"/>
          <w:color w:val="000000"/>
          <w:sz w:val="28"/>
          <w:szCs w:val="28"/>
        </w:rPr>
        <w:t>Ewa Klekot</w:t>
      </w:r>
      <w:r w:rsidR="00724A21">
        <w:rPr>
          <w:rFonts w:ascii="GoodHeadlinePro-News" w:hAnsi="GoodHeadlinePro-News" w:cs="GoodHeadlinePro-News"/>
          <w:color w:val="000000"/>
          <w:sz w:val="28"/>
          <w:szCs w:val="28"/>
        </w:rPr>
        <w:br/>
      </w:r>
      <w:r w:rsidR="007E3610">
        <w:rPr>
          <w:rFonts w:ascii="GoodHeadlinePro-News" w:hAnsi="GoodHeadlinePro-News" w:cs="GoodHeadlinePro-News"/>
          <w:color w:val="000000"/>
          <w:sz w:val="28"/>
          <w:szCs w:val="28"/>
        </w:rPr>
        <w:t>kurator</w:t>
      </w:r>
      <w:r w:rsidR="00443226">
        <w:rPr>
          <w:rFonts w:ascii="GoodHeadlinePro-News" w:hAnsi="GoodHeadlinePro-News" w:cs="GoodHeadlinePro-News"/>
          <w:color w:val="000000"/>
          <w:sz w:val="28"/>
          <w:szCs w:val="28"/>
        </w:rPr>
        <w:t>ka</w:t>
      </w:r>
    </w:p>
    <w:p w:rsidR="003247C5" w:rsidRDefault="00AB2EFA"/>
    <w:sectPr w:rsidR="003247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GoodHeadlinePro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odHeadlinePro-News">
    <w:altName w:val="GoodHeadlinePro-News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1D3"/>
    <w:rsid w:val="000901D3"/>
    <w:rsid w:val="000C4C14"/>
    <w:rsid w:val="000F1DAC"/>
    <w:rsid w:val="001A4A4E"/>
    <w:rsid w:val="001C3B3E"/>
    <w:rsid w:val="001D4FB9"/>
    <w:rsid w:val="0027581E"/>
    <w:rsid w:val="00364165"/>
    <w:rsid w:val="00410AF8"/>
    <w:rsid w:val="00443226"/>
    <w:rsid w:val="004C0DE8"/>
    <w:rsid w:val="005120C5"/>
    <w:rsid w:val="006F0903"/>
    <w:rsid w:val="0070084C"/>
    <w:rsid w:val="00724A21"/>
    <w:rsid w:val="007715ED"/>
    <w:rsid w:val="007E3610"/>
    <w:rsid w:val="008F65D5"/>
    <w:rsid w:val="00AB2EFA"/>
    <w:rsid w:val="00AC1F6D"/>
    <w:rsid w:val="00BB18E0"/>
    <w:rsid w:val="00CE3677"/>
    <w:rsid w:val="00F27FD3"/>
    <w:rsid w:val="00F377D7"/>
    <w:rsid w:val="00F90E7C"/>
    <w:rsid w:val="00F9327F"/>
    <w:rsid w:val="00FF2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F6753C-5799-43ED-AB3B-BCF0099F5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F0903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F0903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F090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F090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Pa0">
    <w:name w:val="Pa0"/>
    <w:basedOn w:val="Normalny"/>
    <w:next w:val="Normalny"/>
    <w:uiPriority w:val="99"/>
    <w:rsid w:val="006F0903"/>
    <w:pPr>
      <w:autoSpaceDE w:val="0"/>
      <w:autoSpaceDN w:val="0"/>
      <w:adjustRightInd w:val="0"/>
      <w:spacing w:after="0" w:line="881" w:lineRule="atLeast"/>
    </w:pPr>
    <w:rPr>
      <w:rFonts w:ascii="GoodHeadlinePro-Bold" w:hAnsi="GoodHeadlinePro-Bold"/>
      <w:sz w:val="24"/>
      <w:szCs w:val="24"/>
    </w:rPr>
  </w:style>
  <w:style w:type="character" w:customStyle="1" w:styleId="A0">
    <w:name w:val="A0"/>
    <w:uiPriority w:val="99"/>
    <w:rsid w:val="006F0903"/>
    <w:rPr>
      <w:rFonts w:ascii="GoodHeadlinePro-Bold" w:hAnsi="GoodHeadlinePro-Bold" w:cs="GoodHeadlinePro-Bold" w:hint="default"/>
      <w:b/>
      <w:bCs/>
      <w:color w:val="000000"/>
      <w:sz w:val="104"/>
      <w:szCs w:val="10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4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383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G. Archeologiczny, wstęp 31.05.21</vt:lpstr>
    </vt:vector>
  </TitlesOfParts>
  <Company/>
  <LinksUpToDate>false</LinksUpToDate>
  <CharactersWithSpaces>2678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G. Ludwika Gocla, wstęp 31.05.21</dc:title>
  <dc:subject/>
  <dc:creator>katarzyna.szafranska@ad.muzeumwarszawy.pl</dc:creator>
  <cp:keywords/>
  <dc:description/>
  <cp:lastModifiedBy>katarzyna.szafranska@ad.muzeumwarszawy.pl</cp:lastModifiedBy>
  <cp:revision>13</cp:revision>
  <dcterms:created xsi:type="dcterms:W3CDTF">2021-05-21T11:46:00Z</dcterms:created>
  <dcterms:modified xsi:type="dcterms:W3CDTF">2021-05-31T16:47:00Z</dcterms:modified>
</cp:coreProperties>
</file>