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Kuchenne ewolucje – jak i co jadała Warszawa przez wieki? Nowa wystawa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 miejscu i na wynos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odkrywa tajemnice kuchni warszawskiej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5755640" cy="2877820"/>
            <wp:effectExtent b="0" l="0" r="0" t="0"/>
            <wp:docPr id="9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28778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Muzeum Warszawy, 17.10.2024–17.04.2025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  <w:rtl w:val="0"/>
        </w:rPr>
        <w:t xml:space="preserve">Nowa wystawa w Muzeum Warszawy opowiada historię miasta… od kuchni! Sposoby przygotowywania i podawania posiłków, najchętniej spożywane dania czy miejsca, gdzie jadano, zmieniały się przez wieki, odzwierciedlając przemiany społeczne, obyczajowe i polityczne. Od średniowiecza do współczesności przez tę niezwykle ważną dziedzinę życia poprowadzą odkrycia archeologiczne, przedmioty codziennego użytku, archiwalia, fotografie, a także dzieła sztuki dawnej i nowoczesnej. Otwarcie wystawy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  <w:rtl w:val="0"/>
        </w:rPr>
        <w:t xml:space="preserve">Na miejscu i na wynos. Kuchnia warszawska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  <w:rtl w:val="0"/>
        </w:rPr>
        <w:t xml:space="preserve"> już 17 października.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  <w:rtl w:val="0"/>
        </w:rPr>
        <w:t xml:space="preserve">Jaka była i jest warszawska kuchnia?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  <w:rtl w:val="0"/>
        </w:rPr>
        <w:t xml:space="preserve">Wystawa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  <w:rtl w:val="0"/>
        </w:rPr>
        <w:t xml:space="preserve">Na miejscu i na wynos. Kuchnia warszawska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  <w:rtl w:val="0"/>
        </w:rPr>
        <w:t xml:space="preserve">przedstawia osiem wieków historii żywienia w Warszawie. Jedzenie zajmuje istotne miejsce w historii społecznej miasta. Doskonale ukazuje zachodzące przemiany, ale ma również niebagatelny wpływ na obyczaje, relacje międzyludzkie czy przestrzeń miejską od czasów średniowiecznych aż do dziś.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  <w:rtl w:val="0"/>
        </w:rPr>
        <w:t xml:space="preserve">– Zwracamy uwagę na tendencje w żywieniu związane z rozwojem wiedzy, higieną, a także będące następstwem procesów społecznych – mówi Zuzanna Różańska-Tuta, jedna z kuratorek wystawy. </w:t>
        <w:br w:type="textWrapping"/>
        <w:t xml:space="preserve">– Pokazujemy, jak przemiany wpływały na sposoby przygotowania potraw i spożywanie posiłków, jak jedzenie kształtowało poczucie odpowiedzialności społecznej, a także to, jak stało się przyczynkiem do wspólnego spędzania czasu wolnego.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  <w:rtl w:val="0"/>
        </w:rPr>
        <w:t xml:space="preserve">– Na wystawie pokazujemy różnorodne obiekty: z jednej strony najstarsze zachowane w naszych zbiorach naczynia, z drugiej – fotografie tanich kuchni z 1915 roku czy wykonany w ubiegłym roku fotoreportaż Anny Bedyńskiej z plaż nad Wisłą, przedstawiający wspólne piknikowanie i grillowanie – dodaje druga z kuratorek, Lena Wicherkiewicz.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0"/>
          <w:szCs w:val="20"/>
          <w:u w:val="none"/>
          <w:shd w:fill="ffdf7f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  <w:rtl w:val="0"/>
        </w:rPr>
        <w:t xml:space="preserve">Narracja wystawy rozwija się wokół gotowania w domu i gastronomii miejskiej. Dawne sposoby przygotowywania i przechowywania jedzenia przybliżają obiekty pochodzące z wykopalisk archeologicznych. Innowacje kuchenne zaczęły zachodzić dopiero na początku XIX wieku – je również będzie można prześledzić na przykładzie pierwszych kuchenek gazowych czy urządzeń takich jak maszynka do lodów, mikser, krajalnica i czajnik elektryczny.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  <w:rtl w:val="0"/>
        </w:rPr>
        <w:t xml:space="preserve">W kolejnej sali na wielkim stole zobaczymy, jak ważną częścią kultury jest to, co jemy. To, jak podawane są potrawy, jest wyrazem tożsamości. Na wystawie znalazło się też jedno z pierwszych wydań legendarnej książki kucharskiej Lucyny Ćwierczakiewiczowej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  <w:rtl w:val="0"/>
        </w:rPr>
        <w:t xml:space="preserve">365 obiadów za pięć złotych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  <w:rtl w:val="0"/>
        </w:rPr>
        <w:t xml:space="preserve">Kolejne części ekspozycji poświęcono działalności instytucji charytatywnych i jedzeniu ulicznemu. Początki modnego dziś 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  <w:rtl w:val="0"/>
        </w:rPr>
        <w:t xml:space="preserve">street foodu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  <w:rtl w:val="0"/>
        </w:rPr>
        <w:t xml:space="preserve"> sięgają średniowiecza, a na wystawie będzie można dowiedzieć się, jak zmieniały się dania serwowane pod chmurką, a także czym były handelki i bawarie oraz jak rozwijało się zbiorowe żywienie. Kawiarniane ogródki i dzielenie się smakołykami na piknikach nad Wisłą też mają długą tradycję. O jedzeniu na świeżym powietrzu, niegdyś i teraz, opowiada ostatnia część wystawy.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  <w:rtl w:val="0"/>
        </w:rPr>
        <w:t xml:space="preserve">Na miejscu i na wynos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  <w:rtl w:val="0"/>
        </w:rPr>
        <w:t xml:space="preserve"> to nie tylko perspektywa historyczna, lecz także spojrzenie na współczesność. O aktualności tematu przygotowywania i spożywania jedzenia świadczą wybrane dzieła sztuki autorstwa m.in. Bettiny Bereś, Doroty Podlaskiej, Rafała Milacha i Poli Dwurnik. Jedzenie uliczne, dawne kuchnie, jadłodajnie i pikniki przedstawione zostały na rysunkach Jana Piotra Norblina, Franciszka Kostrzewskiego i Henryka Pillatiego, zdjęciach Konrada Brandla czy Aleksandra Minorskiego.</w:t>
        <w:br w:type="textWrapping"/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Tematyka wystawy jest bliska każdemu, także najmłodszym odwiedzającym, dlatego w kilku miejscach ekspozycja płynnie przechodzi w przestrzeń zabawy i nauki. Obok dużego stołu, przedstawiającego nakrycia z różnych epok, przygotowano miejsce do twórczej aktywności – komponowania z magnesów własnych „posiłków”. Na końcu wystawy ponadto będzie można samodzielnie ułożyć menu dla „food trucka Muzeum Warszawy”.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nie koniec atrakcji dla najmłodszych. Zaplanowane zostały warsztaty rodzinne, a wystawę będzie można zwiedzić z kartą pracy lub w ramach lekcji szkolnej całą klasą.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ffdf7f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  <w:rtl w:val="0"/>
        </w:rPr>
        <w:t xml:space="preserve">Program wydarzeń dla dorosłych obejmie niedzielne oprowadzania kuratorskie, w tym jedno w polskim języku Migowym, i specjalne oprowadzania autorskie przygotowane przez zaproszonych gości (wśród nich prof. Jarosław Dumanowski i Aleks Baron). Na pierwsze oprowadzanie z kuratorkami zapraszamy już 20 października. Wystawa będzie także okazją do wysłuchania interesujących wykładów: Katarzyna Stańczak-Wiślicz opowie o tym, co i gdzie brano na wynos od powojnia do 1989 roku, a Łukasz Modelski o warszawskiej gastronomii w dobie transformacji. W Centrum Interpretacji Zabytku można będzie posłuchać o tradycyjnych warszawskich daniach i przekąskach wpisanych na listę niematerialnego dziedzictwa oraz wykładu kuratorek wystawy, które przybliżą poruszone na niej zagadnienia. Specjalna odsłona Seminarium Warszawskiego poświęcona tematowi wystawy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  <w:rtl w:val="0"/>
        </w:rPr>
        <w:t xml:space="preserve">Na miejscu i na wynos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  <w:rtl w:val="0"/>
        </w:rPr>
        <w:t xml:space="preserve"> przypadnie zaś 19 listopada.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  <w:rtl w:val="0"/>
        </w:rPr>
        <w:t xml:space="preserve">Wystawie towarzyszyć będą między innymi: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  <w:rtl w:val="0"/>
        </w:rPr>
        <w:t xml:space="preserve">oprowadzania kuratorskie,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  <w:rtl w:val="0"/>
        </w:rPr>
        <w:t xml:space="preserve">wykład Łukasza Modelskiego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  <w:rtl w:val="0"/>
        </w:rPr>
        <w:t xml:space="preserve">Schabowy z ananasem i whisky z colą – warszawskie restauracje w dobie transformacji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  <w:rtl w:val="0"/>
        </w:rPr>
        <w:t xml:space="preserve">Seminarium Warszawskie: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  <w:rtl w:val="0"/>
        </w:rPr>
        <w:t xml:space="preserve">Na miejscu czy na wynos? Czyli o kuchni warszawskiej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  <w:rtl w:val="0"/>
        </w:rPr>
        <w:t xml:space="preserve">wykład kuratorek w Centrum Interpretacji Zabytku,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  <w:rtl w:val="0"/>
        </w:rPr>
        <w:t xml:space="preserve">wykład Katarzyny Stańczak-Wiślicz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  <w:rtl w:val="0"/>
        </w:rPr>
        <w:t xml:space="preserve">Dokąd na obiad, a dokąd na lody – jedzenie na wynos w Warszawie 1945–1989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  <w:rtl w:val="0"/>
        </w:rPr>
        <w:t xml:space="preserve">cykl spotkań dla seniorów,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  <w:rtl w:val="0"/>
        </w:rPr>
        <w:t xml:space="preserve">warsztaty dla dzieci i młodzieży,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  <w:rtl w:val="0"/>
        </w:rPr>
        <w:t xml:space="preserve">oprowadzania dla rodzin z dziećmi,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  <w:rtl w:val="0"/>
        </w:rPr>
        <w:t xml:space="preserve">spotkania dla mam i tatusiów bobasów,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  <w:rtl w:val="0"/>
        </w:rPr>
        <w:t xml:space="preserve">lekcje muzealne,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  <w:rtl w:val="0"/>
        </w:rPr>
        <w:t xml:space="preserve">propozycje dla gości indywidualnych.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c1c1c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Wystawa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 miejscu i na wynos. Kuchnia warszawska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potrwa od 17 października 2024 do 17 kwietnia 2025 roku w Muzeum Warszawy na Rynku Starego Miasta 32. Muzeum jest czynne we wtorek, środę i piątek w godzinach od 9.00 do 17.00, w czwartek od 9.00 do 19.00, w sobotę i niedzielę od 11.00 do 18.00. Bilety: 20 zł / 15 zł, w czwartki wstęp bezpłatny.</w:t>
      </w:r>
    </w:p>
    <w:p w:rsidR="00000000" w:rsidDel="00000000" w:rsidP="00000000" w:rsidRDefault="00000000" w:rsidRPr="00000000" w14:paraId="00000023">
      <w:pPr>
        <w:spacing w:after="120" w:before="120"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120"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Więcej o wystawie i programie towarzyszącym:</w:t>
      </w:r>
    </w:p>
    <w:p w:rsidR="00000000" w:rsidDel="00000000" w:rsidP="00000000" w:rsidRDefault="00000000" w:rsidRPr="00000000" w14:paraId="00000025">
      <w:pPr>
        <w:spacing w:after="120" w:before="120" w:line="360" w:lineRule="auto"/>
        <w:jc w:val="both"/>
        <w:rPr>
          <w:rFonts w:ascii="Arial" w:cs="Arial" w:eastAsia="Arial" w:hAnsi="Arial"/>
          <w:b w:val="1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u w:val="single"/>
          <w:rtl w:val="0"/>
        </w:rPr>
        <w:t xml:space="preserve">https://muzeumwarszawy.pl/na-miejscu-i-na-wynos-kuchnia-warszawska/</w:t>
      </w:r>
    </w:p>
    <w:p w:rsidR="00000000" w:rsidDel="00000000" w:rsidP="00000000" w:rsidRDefault="00000000" w:rsidRPr="00000000" w14:paraId="00000026">
      <w:pPr>
        <w:spacing w:after="120" w:before="120" w:line="360" w:lineRule="auto"/>
        <w:jc w:val="both"/>
        <w:rPr>
          <w:rFonts w:ascii="Arial" w:cs="Arial" w:eastAsia="Arial" w:hAnsi="Arial"/>
          <w:b w:val="1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u w:val="single"/>
          <w:rtl w:val="0"/>
        </w:rPr>
        <w:t xml:space="preserve">https://muzeumwarszawy.pl/en/for-here-and-to-go-warsaws-cuisine/</w:t>
      </w:r>
    </w:p>
    <w:p w:rsidR="00000000" w:rsidDel="00000000" w:rsidP="00000000" w:rsidRDefault="00000000" w:rsidRPr="00000000" w14:paraId="00000027">
      <w:pPr>
        <w:spacing w:line="360" w:lineRule="auto"/>
        <w:rPr>
          <w:rFonts w:ascii="Arial" w:cs="Arial" w:eastAsia="Arial" w:hAnsi="Arial"/>
          <w:b w:val="1"/>
          <w:color w:val="050404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2060"/>
          <w:sz w:val="18"/>
          <w:szCs w:val="18"/>
          <w:u w:val="singl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50404"/>
          <w:sz w:val="18"/>
          <w:szCs w:val="18"/>
          <w:highlight w:val="white"/>
          <w:rtl w:val="0"/>
        </w:rPr>
        <w:t xml:space="preserve">Kontakt dla mediów:</w:t>
      </w:r>
    </w:p>
    <w:p w:rsidR="00000000" w:rsidDel="00000000" w:rsidP="00000000" w:rsidRDefault="00000000" w:rsidRPr="00000000" w14:paraId="00000028">
      <w:pPr>
        <w:spacing w:line="360" w:lineRule="auto"/>
        <w:rPr>
          <w:rFonts w:ascii="Arial" w:cs="Arial" w:eastAsia="Arial" w:hAnsi="Arial"/>
          <w:color w:val="050404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color w:val="050404"/>
          <w:sz w:val="18"/>
          <w:szCs w:val="18"/>
          <w:highlight w:val="white"/>
          <w:rtl w:val="0"/>
        </w:rPr>
        <w:t xml:space="preserve">Nela Sobieszczańska</w:t>
      </w:r>
    </w:p>
    <w:p w:rsidR="00000000" w:rsidDel="00000000" w:rsidP="00000000" w:rsidRDefault="00000000" w:rsidRPr="00000000" w14:paraId="00000029">
      <w:pPr>
        <w:spacing w:after="120" w:before="120" w:line="360" w:lineRule="auto"/>
        <w:rPr>
          <w:rFonts w:ascii="Arial" w:cs="Arial" w:eastAsia="Arial" w:hAnsi="Arial"/>
          <w:color w:val="0000bf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color w:val="292929"/>
          <w:sz w:val="18"/>
          <w:szCs w:val="18"/>
          <w:rtl w:val="0"/>
        </w:rPr>
        <w:t xml:space="preserve">Muzeum Warszawy</w:t>
      </w:r>
      <w:r w:rsidDel="00000000" w:rsidR="00000000" w:rsidRPr="00000000">
        <w:rPr>
          <w:rFonts w:ascii="Arial" w:cs="Arial" w:eastAsia="Arial" w:hAnsi="Arial"/>
          <w:color w:val="7d7d7d"/>
          <w:sz w:val="18"/>
          <w:szCs w:val="18"/>
          <w:highlight w:val="whit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highlight w:val="white"/>
          <w:rtl w:val="0"/>
        </w:rPr>
        <w:t xml:space="preserve">+48 502 244 911</w:t>
      </w:r>
      <w:r w:rsidDel="00000000" w:rsidR="00000000" w:rsidRPr="00000000">
        <w:rPr>
          <w:rFonts w:ascii="Arial" w:cs="Arial" w:eastAsia="Arial" w:hAnsi="Arial"/>
          <w:color w:val="7d7d7d"/>
          <w:sz w:val="18"/>
          <w:szCs w:val="18"/>
          <w:highlight w:val="white"/>
          <w:rtl w:val="0"/>
        </w:rPr>
        <w:br w:type="textWrapping"/>
      </w:r>
      <w:hyperlink r:id="rId8">
        <w:r w:rsidDel="00000000" w:rsidR="00000000" w:rsidRPr="00000000">
          <w:rPr>
            <w:rFonts w:ascii="Arial" w:cs="Arial" w:eastAsia="Arial" w:hAnsi="Arial"/>
            <w:color w:val="0000bf"/>
            <w:sz w:val="18"/>
            <w:szCs w:val="18"/>
            <w:highlight w:val="white"/>
            <w:u w:val="single"/>
            <w:rtl w:val="0"/>
          </w:rPr>
          <w:t xml:space="preserve">nela.sobieszczanska@muzeumwarszawy.pl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120" w:lin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before="120" w:lin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Materiały dla mediów:</w:t>
      </w:r>
    </w:p>
    <w:p w:rsidR="00000000" w:rsidDel="00000000" w:rsidP="00000000" w:rsidRDefault="00000000" w:rsidRPr="00000000" w14:paraId="0000002C">
      <w:pPr>
        <w:spacing w:after="120" w:before="120" w:line="360" w:lineRule="auto"/>
        <w:rPr>
          <w:rFonts w:ascii="Calibri" w:cs="Calibri" w:eastAsia="Calibri" w:hAnsi="Calibri"/>
          <w:b w:val="0"/>
          <w:color w:val="000000"/>
          <w:sz w:val="22"/>
          <w:szCs w:val="22"/>
          <w:u w:val="none"/>
        </w:rPr>
      </w:pPr>
      <w:hyperlink r:id="rId9">
        <w:r w:rsidDel="00000000" w:rsidR="00000000" w:rsidRPr="00000000">
          <w:rPr>
            <w:rFonts w:ascii="Arial" w:cs="Arial" w:eastAsia="Arial" w:hAnsi="Arial"/>
            <w:b w:val="1"/>
            <w:color w:val="000000"/>
            <w:sz w:val="18"/>
            <w:szCs w:val="18"/>
            <w:u w:val="single"/>
            <w:rtl w:val="0"/>
          </w:rPr>
          <w:t xml:space="preserve">www.muzeumwarszawy.pl/dla-mediow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0" w:lineRule="auto"/>
        <w:ind w:left="0" w:right="0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ffdf7f" w:val="clear"/>
          <w:vertAlign w:val="baseline"/>
        </w:rPr>
        <w:sectPr>
          <w:headerReference r:id="rId10" w:type="default"/>
          <w:footerReference r:id="rId11" w:type="default"/>
          <w:pgSz w:h="16840" w:w="11900" w:orient="portrait"/>
          <w:pgMar w:bottom="1417" w:top="1418" w:left="1418" w:right="1418" w:header="708" w:footer="708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KOLOFON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1417" w:top="1417" w:left="1417" w:right="1417" w:header="708" w:footer="708"/>
          <w:cols w:equalWidth="0" w:num="2">
            <w:col w:space="776" w:w="4144.999999999999"/>
            <w:col w:space="0" w:w="4144.999999999999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kuratorki / curators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Zuzanna Różańska-Tuta, Lena Wicherkiewicz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projekt wystawy / exhibition designer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Kosmos Project 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produkcja / production manager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Monika Mazurek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projekt graficzny / graphic design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Katarzyna Łygońska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przygotowanie reprodukcji do druku</w:t>
      </w:r>
    </w:p>
    <w:p w:rsidR="00000000" w:rsidDel="00000000" w:rsidP="00000000" w:rsidRDefault="00000000" w:rsidRPr="00000000" w14:paraId="00000048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Kaja Gliwa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projekt plakatu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Joanna Bębenek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tłumaczenie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Karol Waniek 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redakcja i korekta 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Urszula Drabińska</w:t>
      </w:r>
    </w:p>
    <w:p w:rsidR="00000000" w:rsidDel="00000000" w:rsidP="00000000" w:rsidRDefault="00000000" w:rsidRPr="00000000" w14:paraId="0000004F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realizacja / realization of the exhibition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rFonts w:ascii="Arial" w:cs="Arial" w:eastAsia="Arial" w:hAnsi="Arial"/>
          <w:sz w:val="20"/>
          <w:szCs w:val="20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Artmontage – Studio Alena Trafimava </w:t>
      </w:r>
    </w:p>
    <w:p w:rsidR="00000000" w:rsidDel="00000000" w:rsidP="00000000" w:rsidRDefault="00000000" w:rsidRPr="00000000" w14:paraId="00000051">
      <w:pPr>
        <w:spacing w:line="240" w:lineRule="auto"/>
        <w:rPr>
          <w:rFonts w:ascii="Arial" w:cs="Arial" w:eastAsia="Arial" w:hAnsi="Arial"/>
          <w:sz w:val="20"/>
          <w:szCs w:val="20"/>
        </w:rPr>
      </w:pPr>
      <w:bookmarkStart w:colFirst="0" w:colLast="0" w:name="_heading=h.3znysh7" w:id="3"/>
      <w:bookmarkEnd w:id="3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Michał Bogumił, Ksenia Góreczna, Jolanta Górska, Paweł Grochowalski, Krzysztof Hernik, Piotr Lipiński, Krzysztof Kwiatkowski, Artur Miniewicz, Katarzyna Radecka, Tomasz Raubo, Leszek Sokołowski, Dariusz Sałański </w:t>
      </w:r>
    </w:p>
    <w:p w:rsidR="00000000" w:rsidDel="00000000" w:rsidP="00000000" w:rsidRDefault="00000000" w:rsidRPr="00000000" w14:paraId="00000052">
      <w:pPr>
        <w:spacing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opieka konserwatorska / conservation care</w:t>
      </w:r>
    </w:p>
    <w:p w:rsidR="00000000" w:rsidDel="00000000" w:rsidP="00000000" w:rsidRDefault="00000000" w:rsidRPr="00000000" w14:paraId="00000056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Beata Galperyn-Kołodziejska, Piotr Kaczkiełło, Julia Kłosińska, Robert Kołodziejski, Katarzyna Lesiakowska-Tofil, Janusz Mróz, Igor Nowak, Karolina Nowicka, Piotr Popławski, Adam Wrzosek </w:t>
      </w:r>
    </w:p>
    <w:p w:rsidR="00000000" w:rsidDel="00000000" w:rsidP="00000000" w:rsidRDefault="00000000" w:rsidRPr="00000000" w14:paraId="00000057">
      <w:pPr>
        <w:spacing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koordynacja digitalizacji / digitalization coordinated by</w:t>
      </w:r>
    </w:p>
    <w:p w:rsidR="00000000" w:rsidDel="00000000" w:rsidP="00000000" w:rsidRDefault="00000000" w:rsidRPr="00000000" w14:paraId="00000058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Mikołaj Kalina</w:t>
      </w:r>
    </w:p>
    <w:p w:rsidR="00000000" w:rsidDel="00000000" w:rsidP="00000000" w:rsidRDefault="00000000" w:rsidRPr="00000000" w14:paraId="00000059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wypożyczenia zewnętrzne / external loans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Janusz Kurczak, Agata Hofman, Marzena Michałek-Dąbrowska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wypożyczenia wewnętrzne </w:t>
      </w:r>
    </w:p>
    <w:p w:rsidR="00000000" w:rsidDel="00000000" w:rsidP="00000000" w:rsidRDefault="00000000" w:rsidRPr="00000000" w14:paraId="0000005C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Tomasz Lewandowski, Zuzanna Sieroszewska-Rolewicz, Joanna Rykiel, Dorota Parszewska, Aleksandra Lis, Klaudia Jaraszek, Małgorzata Oliwińska, Kamila Utrata, Łukasz Sobierajski, Filip Żelewski</w:t>
      </w:r>
    </w:p>
    <w:p w:rsidR="00000000" w:rsidDel="00000000" w:rsidP="00000000" w:rsidRDefault="00000000" w:rsidRPr="00000000" w14:paraId="0000005D">
      <w:pPr>
        <w:spacing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program edukacyjny – dział edukacji </w:t>
      </w:r>
    </w:p>
    <w:p w:rsidR="00000000" w:rsidDel="00000000" w:rsidP="00000000" w:rsidRDefault="00000000" w:rsidRPr="00000000" w14:paraId="0000005E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Krystyna Stroynowska, Monika Michałek, Aleksandra Kresowska, Anna Marta Zdanowska, Paula Kuch, Edyta Gołębiowska, Karolina Sawicka</w:t>
      </w:r>
    </w:p>
    <w:p w:rsidR="00000000" w:rsidDel="00000000" w:rsidP="00000000" w:rsidRDefault="00000000" w:rsidRPr="00000000" w14:paraId="0000005F">
      <w:pPr>
        <w:spacing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program towarzyszący</w:t>
      </w:r>
    </w:p>
    <w:p w:rsidR="00000000" w:rsidDel="00000000" w:rsidP="00000000" w:rsidRDefault="00000000" w:rsidRPr="00000000" w14:paraId="00000060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Dorota Stolarska-Kultys, Tomasz Krajewski</w:t>
      </w:r>
    </w:p>
    <w:p w:rsidR="00000000" w:rsidDel="00000000" w:rsidP="00000000" w:rsidRDefault="00000000" w:rsidRPr="00000000" w14:paraId="00000061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komunikacja i marketing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rPr>
          <w:rFonts w:ascii="Arial" w:cs="Arial" w:eastAsia="Arial" w:hAnsi="Arial"/>
          <w:sz w:val="20"/>
          <w:szCs w:val="20"/>
        </w:rPr>
        <w:sectPr>
          <w:type w:val="continuous"/>
          <w:pgSz w:h="16840" w:w="11900" w:orient="portrait"/>
          <w:pgMar w:bottom="1417" w:top="1417" w:left="1417" w:right="1417" w:header="708" w:footer="708"/>
          <w:cols w:equalWidth="0" w:num="2">
            <w:col w:space="776" w:w="4144.999999999999"/>
            <w:col w:space="0" w:w="4144.999999999999"/>
          </w:cols>
        </w:sect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Agata Fijałkowska, Daniel Karwowski, Anna Ładna, Aleksandra Migacz, Nela Sobieszczańska, Jowita Purzycka, Milena Soporowska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1417" w:top="1417" w:left="1417" w:right="1417" w:header="708" w:footer="708"/>
        </w:sect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-600856</wp:posOffset>
            </wp:positionH>
            <wp:positionV relativeFrom="paragraph">
              <wp:posOffset>349592</wp:posOffset>
            </wp:positionV>
            <wp:extent cx="7112211" cy="1223899"/>
            <wp:effectExtent b="0" l="0" r="0" t="0"/>
            <wp:wrapNone/>
            <wp:docPr id="10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2211" cy="122389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1417" w:top="1417" w:left="1417" w:right="1417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type w:val="continuous"/>
          <w:pgSz w:h="16840" w:w="11900" w:orient="portrait"/>
          <w:pgMar w:bottom="1417" w:top="1417" w:left="1417" w:right="1417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1417" w:top="1417" w:left="1417" w:right="1417" w:header="708" w:footer="708"/>
      <w:cols w:equalWidth="0" w:num="2">
        <w:col w:space="776" w:w="4144.999999999999"/>
        <w:col w:space="0" w:w="4144.9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9000"/>
      </w:tabs>
      <w:spacing w:after="160" w:before="0" w:line="36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16891" cy="45720"/>
          <wp:effectExtent b="0" l="0" r="0" t="0"/>
          <wp:docPr descr="Obraz2" id="12" name="image2.png"/>
          <a:graphic>
            <a:graphicData uri="http://schemas.openxmlformats.org/drawingml/2006/picture">
              <pic:pic>
                <pic:nvPicPr>
                  <pic:cNvPr descr="Obraz2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6891" cy="457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9000"/>
      </w:tabs>
      <w:spacing w:after="16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a6a6a6"/>
        <w:sz w:val="16"/>
        <w:szCs w:val="16"/>
        <w:u w:val="none"/>
        <w:shd w:fill="auto" w:val="clear"/>
        <w:vertAlign w:val="baseline"/>
        <w:rtl w:val="0"/>
      </w:rPr>
      <w:t xml:space="preserve">Muzeum Warszawy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9000"/>
      </w:tabs>
      <w:spacing w:after="16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a6a6a6"/>
        <w:sz w:val="16"/>
        <w:szCs w:val="16"/>
        <w:u w:val="none"/>
        <w:shd w:fill="auto" w:val="clear"/>
        <w:vertAlign w:val="baseline"/>
        <w:rtl w:val="0"/>
      </w:rPr>
      <w:t xml:space="preserve">Rynek Starego Miasta 28-42, 00-272 Warszawa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9000"/>
      </w:tabs>
      <w:spacing w:after="16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a6a6a6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a6a6a6"/>
        <w:sz w:val="16"/>
        <w:szCs w:val="16"/>
        <w:u w:val="none"/>
        <w:shd w:fill="auto" w:val="clear"/>
        <w:vertAlign w:val="baseline"/>
        <w:rtl w:val="0"/>
      </w:rPr>
      <w:t xml:space="preserve">tel. (+48) 22 635 16 25 / fax (+48) 22 831 94 91</w:t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9000"/>
      </w:tabs>
      <w:spacing w:after="16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a6a6a6"/>
        <w:sz w:val="16"/>
        <w:szCs w:val="16"/>
        <w:u w:val="none"/>
        <w:shd w:fill="auto" w:val="clear"/>
        <w:vertAlign w:val="baseline"/>
        <w:rtl w:val="0"/>
      </w:rPr>
      <w:t xml:space="preserve">www.muzeumwarszawy.pl / sekretariat@muzeumwarszawy.pl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899794</wp:posOffset>
          </wp:positionH>
          <wp:positionV relativeFrom="page">
            <wp:posOffset>344170</wp:posOffset>
          </wp:positionV>
          <wp:extent cx="1143000" cy="397510"/>
          <wp:effectExtent b="0" l="0" r="0" t="0"/>
          <wp:wrapNone/>
          <wp:docPr descr="officeArt object" id="11" name="image1.png"/>
          <a:graphic>
            <a:graphicData uri="http://schemas.openxmlformats.org/drawingml/2006/picture">
              <pic:pic>
                <pic:nvPicPr>
                  <pic:cNvPr descr="officeArt object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3975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160" w:before="0" w:line="259" w:lineRule="auto"/>
      <w:ind w:left="0" w:right="0" w:firstLine="0"/>
      <w:jc w:val="left"/>
    </w:pPr>
    <w:rPr>
      <w:rFonts w:ascii="Cambria" w:cs="Cambria" w:eastAsia="Cambria" w:hAnsi="Cambria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sid w:val="00613F44"/>
    <w:pPr>
      <w:spacing w:after="160" w:line="259" w:lineRule="auto"/>
    </w:pPr>
    <w:rPr>
      <w:rFonts w:ascii="Calibri" w:cs="Arial Unicode MS" w:hAnsi="Calibri"/>
      <w:color w:val="000000"/>
      <w:sz w:val="22"/>
      <w:szCs w:val="22"/>
      <w:u w:color="000000"/>
      <w:lang w:val="de-DE"/>
    </w:rPr>
  </w:style>
  <w:style w:type="paragraph" w:styleId="Nagwek3">
    <w:name w:val="heading 3"/>
    <w:rsid w:val="00613F44"/>
    <w:pPr>
      <w:tabs>
        <w:tab w:val="center" w:pos="4536"/>
        <w:tab w:val="right" w:pos="9072"/>
      </w:tabs>
      <w:spacing w:after="160" w:line="259" w:lineRule="auto"/>
      <w:outlineLvl w:val="2"/>
    </w:pPr>
    <w:rPr>
      <w:rFonts w:ascii="Cambria" w:cs="Arial Unicode MS" w:hAnsi="Cambria"/>
      <w:color w:val="000000"/>
      <w:sz w:val="24"/>
      <w:szCs w:val="24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sid w:val="00613F44"/>
    <w:rPr>
      <w:u w:val="single"/>
    </w:rPr>
  </w:style>
  <w:style w:type="table" w:styleId="TableNormal" w:customStyle="1">
    <w:name w:val="Table Normal"/>
    <w:rsid w:val="00613F44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rsid w:val="00613F44"/>
    <w:pPr>
      <w:tabs>
        <w:tab w:val="center" w:pos="4536"/>
        <w:tab w:val="right" w:pos="9072"/>
      </w:tabs>
      <w:spacing w:after="160" w:line="259" w:lineRule="auto"/>
    </w:pPr>
    <w:rPr>
      <w:rFonts w:ascii="Calibri" w:cs="Arial Unicode MS" w:hAnsi="Calibri"/>
      <w:color w:val="000000"/>
      <w:sz w:val="22"/>
      <w:szCs w:val="22"/>
      <w:u w:color="000000"/>
    </w:rPr>
  </w:style>
  <w:style w:type="paragraph" w:styleId="Stopka">
    <w:name w:val="footer"/>
    <w:rsid w:val="00613F44"/>
    <w:pPr>
      <w:tabs>
        <w:tab w:val="center" w:pos="4536"/>
        <w:tab w:val="right" w:pos="9072"/>
      </w:tabs>
      <w:spacing w:after="160" w:line="259" w:lineRule="auto"/>
    </w:pPr>
    <w:rPr>
      <w:rFonts w:ascii="Calibri" w:cs="Arial Unicode MS" w:hAnsi="Calibri"/>
      <w:color w:val="000000"/>
      <w:sz w:val="22"/>
      <w:szCs w:val="22"/>
      <w:u w:color="000000"/>
    </w:rPr>
  </w:style>
  <w:style w:type="paragraph" w:styleId="NormalnyWeb">
    <w:name w:val="Normal (Web)"/>
    <w:rsid w:val="00613F44"/>
    <w:pPr>
      <w:suppressAutoHyphens w:val="1"/>
      <w:spacing w:after="100" w:before="100" w:line="259" w:lineRule="auto"/>
    </w:pPr>
    <w:rPr>
      <w:rFonts w:eastAsia="Times New Roman"/>
      <w:color w:val="000000"/>
      <w:kern w:val="3"/>
      <w:sz w:val="24"/>
      <w:szCs w:val="24"/>
      <w:u w:color="000000"/>
    </w:rPr>
  </w:style>
  <w:style w:type="paragraph" w:styleId="Domylne" w:customStyle="1">
    <w:name w:val="Domyślne"/>
    <w:rsid w:val="00613F44"/>
    <w:pPr>
      <w:spacing w:before="160" w:line="288" w:lineRule="auto"/>
    </w:pPr>
    <w:rPr>
      <w:rFonts w:ascii="Helvetica Neue" w:cs="Helvetica Neue" w:eastAsia="Helvetica Neue" w:hAnsi="Helvetica Neue"/>
      <w:color w:val="000000"/>
      <w:sz w:val="24"/>
      <w:szCs w:val="24"/>
    </w:rPr>
  </w:style>
  <w:style w:type="numbering" w:styleId="Punktory" w:customStyle="1">
    <w:name w:val="Punktory"/>
    <w:rsid w:val="00613F44"/>
    <w:pPr>
      <w:numPr>
        <w:numId w:val="1"/>
      </w:numPr>
    </w:pPr>
  </w:style>
  <w:style w:type="character" w:styleId="Brak" w:customStyle="1">
    <w:name w:val="Brak"/>
    <w:rsid w:val="00613F44"/>
  </w:style>
  <w:style w:type="character" w:styleId="Hyperlink0" w:customStyle="1">
    <w:name w:val="Hyperlink.0"/>
    <w:basedOn w:val="Brak"/>
    <w:rsid w:val="00613F44"/>
    <w:rPr>
      <w:rFonts w:ascii="Arial" w:cs="Arial" w:eastAsia="Arial" w:hAnsi="Arial"/>
      <w:b w:val="1"/>
      <w:bCs w:val="1"/>
      <w:outline w:val="0"/>
      <w:color w:val="002060"/>
      <w:sz w:val="18"/>
      <w:szCs w:val="18"/>
      <w:u w:color="002060" w:val="single"/>
      <w:shd w:color="auto" w:fill="ffdf7f" w:val="clear"/>
    </w:rPr>
  </w:style>
  <w:style w:type="character" w:styleId="Hyperlink1" w:customStyle="1">
    <w:name w:val="Hyperlink.1"/>
    <w:rsid w:val="00613F44"/>
    <w:rPr>
      <w:rFonts w:ascii="Arial" w:cs="Arial" w:eastAsia="Arial" w:hAnsi="Arial"/>
      <w:b w:val="1"/>
      <w:bCs w:val="1"/>
      <w:outline w:val="0"/>
      <w:color w:val="002060"/>
      <w:sz w:val="18"/>
      <w:szCs w:val="18"/>
      <w:u w:color="002060" w:val="single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613F44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613F44"/>
    <w:rPr>
      <w:rFonts w:ascii="Calibri" w:cs="Arial Unicode MS" w:hAnsi="Calibri"/>
      <w:color w:val="000000"/>
      <w:u w:color="000000"/>
      <w:lang w:val="de-DE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613F4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B6028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B60288"/>
    <w:rPr>
      <w:rFonts w:ascii="Segoe UI" w:cs="Segoe UI" w:hAnsi="Segoe UI"/>
      <w:color w:val="000000"/>
      <w:sz w:val="18"/>
      <w:szCs w:val="18"/>
      <w:u w:color="000000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BE0A1E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BE0A1E"/>
    <w:rPr>
      <w:rFonts w:ascii="Calibri" w:cs="Arial Unicode MS" w:hAnsi="Calibri"/>
      <w:b w:val="1"/>
      <w:bCs w:val="1"/>
      <w:color w:val="000000"/>
      <w:u w:color="000000"/>
      <w:lang w:val="de-DE"/>
    </w:rPr>
  </w:style>
  <w:style w:type="paragraph" w:styleId="Poprawka">
    <w:name w:val="Revision"/>
    <w:hidden w:val="1"/>
    <w:uiPriority w:val="99"/>
    <w:semiHidden w:val="1"/>
    <w:rsid w:val="00FA720A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</w:pPr>
    <w:rPr>
      <w:rFonts w:ascii="Calibri" w:cs="Arial Unicode MS" w:hAnsi="Calibri"/>
      <w:color w:val="000000"/>
      <w:sz w:val="22"/>
      <w:szCs w:val="22"/>
      <w:u w:color="000000"/>
      <w:lang w:val="de-D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2" Type="http://schemas.openxmlformats.org/officeDocument/2006/relationships/image" Target="media/image3.jpg"/><Relationship Id="rId9" Type="http://schemas.openxmlformats.org/officeDocument/2006/relationships/hyperlink" Target="http://www.muzeumwarszawy.pl/dla-mediow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hyperlink" Target="mailto:nela.sobieszczanska@muzeumwarszawy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o/klX/KfCL+V2h1MwaiDo80FzA==">CgMxLjAyCGguZ2pkZ3hzMgloLjMwajB6bGwyCWguMWZvYjl0ZTIJaC4zem55c2g3OAByITFaZTFYSTZWb0g4RURNT1ZGOVhQVXhpd1hqb0p1VFNpdA==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2024-09-05T11:16:00Z</dcterms:created>
</cp:coreProperties>
</file>